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C8FD6" w14:textId="77777777" w:rsidR="00E84B12" w:rsidRDefault="00E84B12" w:rsidP="00E84B12">
      <w:pPr>
        <w:spacing w:afterLines="100" w:after="312"/>
        <w:ind w:firstLineChars="400" w:firstLine="2891"/>
        <w:rPr>
          <w:rFonts w:eastAsia="隶书"/>
          <w:b/>
          <w:bCs/>
          <w:sz w:val="72"/>
          <w:szCs w:val="72"/>
        </w:rPr>
      </w:pPr>
      <w:r>
        <w:rPr>
          <w:rFonts w:eastAsia="隶书" w:hint="eastAsia"/>
          <w:b/>
          <w:bCs/>
          <w:sz w:val="72"/>
          <w:szCs w:val="72"/>
        </w:rPr>
        <w:t>湘潭大学</w:t>
      </w:r>
    </w:p>
    <w:p w14:paraId="2ED6C3AF" w14:textId="77777777" w:rsidR="00E84B12" w:rsidRDefault="00E84B12" w:rsidP="00E84B12">
      <w:pPr>
        <w:spacing w:afterLines="100" w:after="312"/>
        <w:jc w:val="center"/>
        <w:rPr>
          <w:rFonts w:eastAsia="隶书"/>
          <w:b/>
          <w:bCs/>
          <w:sz w:val="72"/>
          <w:szCs w:val="72"/>
        </w:rPr>
      </w:pPr>
      <w:r>
        <w:rPr>
          <w:rFonts w:eastAsia="隶书" w:hint="eastAsia"/>
          <w:b/>
          <w:bCs/>
          <w:sz w:val="72"/>
          <w:szCs w:val="72"/>
        </w:rPr>
        <w:t>自动化与电子信息学院</w:t>
      </w:r>
    </w:p>
    <w:p w14:paraId="001DDA3C" w14:textId="77777777" w:rsidR="00E84B12" w:rsidRDefault="00E84B12" w:rsidP="00E84B12">
      <w:pPr>
        <w:spacing w:after="100"/>
        <w:ind w:firstLine="883"/>
        <w:jc w:val="center"/>
        <w:rPr>
          <w:rFonts w:asciiTheme="minorEastAsia" w:eastAsiaTheme="minorEastAsia" w:hAnsiTheme="minorEastAsia"/>
          <w:bCs/>
        </w:rPr>
      </w:pPr>
      <w:r>
        <w:rPr>
          <w:rFonts w:ascii="黑体" w:eastAsia="黑体" w:hint="eastAsia"/>
          <w:b/>
          <w:bCs/>
          <w:sz w:val="44"/>
          <w:szCs w:val="44"/>
        </w:rPr>
        <w:t>先进控制理论及应用课程作业</w:t>
      </w:r>
    </w:p>
    <w:p w14:paraId="1449D21E" w14:textId="77777777" w:rsidR="00E84B12" w:rsidRDefault="00E84B12" w:rsidP="00E84B12">
      <w:pPr>
        <w:spacing w:after="100"/>
        <w:ind w:firstLine="1446"/>
        <w:jc w:val="center"/>
        <w:rPr>
          <w:rFonts w:eastAsia="隶书"/>
          <w:b/>
          <w:bCs/>
          <w:sz w:val="72"/>
          <w:szCs w:val="72"/>
        </w:rPr>
      </w:pPr>
    </w:p>
    <w:p w14:paraId="6F0E83B7" w14:textId="77777777" w:rsidR="00E84B12" w:rsidRDefault="00E84B12" w:rsidP="00E84B12">
      <w:pPr>
        <w:tabs>
          <w:tab w:val="left" w:pos="7200"/>
        </w:tabs>
        <w:spacing w:after="100"/>
        <w:ind w:firstLine="1446"/>
        <w:rPr>
          <w:rFonts w:eastAsia="隶书"/>
          <w:b/>
          <w:bCs/>
          <w:sz w:val="72"/>
          <w:szCs w:val="72"/>
        </w:rPr>
      </w:pPr>
    </w:p>
    <w:p w14:paraId="1AE0023E" w14:textId="0C9CFDC8" w:rsidR="00E84B12" w:rsidRDefault="00E84B12" w:rsidP="00E84B12">
      <w:pPr>
        <w:tabs>
          <w:tab w:val="left" w:pos="7200"/>
        </w:tabs>
        <w:spacing w:after="100"/>
        <w:ind w:firstLine="643"/>
        <w:rPr>
          <w:rFonts w:asciiTheme="minorEastAsia" w:eastAsiaTheme="minorEastAsia" w:hAnsiTheme="minorEastAsia"/>
          <w:b/>
          <w:bCs/>
          <w:sz w:val="32"/>
          <w:u w:val="single"/>
        </w:rPr>
      </w:pPr>
      <w:r>
        <w:rPr>
          <w:rFonts w:hint="eastAsia"/>
          <w:b/>
          <w:bCs/>
          <w:sz w:val="32"/>
        </w:rPr>
        <w:t>题</w:t>
      </w:r>
      <w:r>
        <w:rPr>
          <w:b/>
          <w:bCs/>
          <w:sz w:val="32"/>
        </w:rPr>
        <w:t xml:space="preserve">    </w:t>
      </w:r>
      <w:r>
        <w:rPr>
          <w:rFonts w:hint="eastAsia"/>
          <w:b/>
          <w:bCs/>
          <w:sz w:val="32"/>
        </w:rPr>
        <w:t>目：</w:t>
      </w:r>
      <w:r>
        <w:rPr>
          <w:rFonts w:asciiTheme="minorEastAsia" w:eastAsiaTheme="minorEastAsia" w:hAnsiTheme="minorEastAsia" w:hint="eastAsia"/>
          <w:b/>
          <w:bCs/>
          <w:sz w:val="32"/>
          <w:u w:val="single"/>
        </w:rPr>
        <w:t xml:space="preserve"> </w:t>
      </w:r>
      <w:r>
        <w:rPr>
          <w:rFonts w:asciiTheme="minorEastAsia" w:eastAsiaTheme="minorEastAsia" w:hAnsiTheme="minorEastAsia"/>
          <w:b/>
          <w:bCs/>
          <w:sz w:val="32"/>
          <w:u w:val="single"/>
        </w:rPr>
        <w:t xml:space="preserve">  </w:t>
      </w:r>
      <w:r>
        <w:rPr>
          <w:rFonts w:asciiTheme="minorEastAsia" w:eastAsiaTheme="minorEastAsia" w:hAnsiTheme="minorEastAsia" w:hint="eastAsia"/>
          <w:b/>
          <w:bCs/>
          <w:sz w:val="32"/>
          <w:u w:val="single"/>
        </w:rPr>
        <w:t>电机与控制及其仿真技术</w:t>
      </w:r>
      <w:r>
        <w:rPr>
          <w:rFonts w:asciiTheme="minorEastAsia" w:eastAsiaTheme="minorEastAsia" w:hAnsiTheme="minorEastAsia"/>
          <w:b/>
          <w:bCs/>
          <w:sz w:val="32"/>
          <w:u w:val="single"/>
        </w:rPr>
        <w:t xml:space="preserve"> </w:t>
      </w:r>
      <w:r>
        <w:rPr>
          <w:rFonts w:asciiTheme="minorEastAsia" w:eastAsiaTheme="minorEastAsia" w:hAnsiTheme="minorEastAsia" w:hint="eastAsia"/>
          <w:b/>
          <w:bCs/>
          <w:sz w:val="32"/>
          <w:u w:val="single"/>
        </w:rPr>
        <w:t xml:space="preserve">   </w:t>
      </w:r>
      <w:r>
        <w:rPr>
          <w:rFonts w:asciiTheme="minorEastAsia" w:eastAsiaTheme="minorEastAsia" w:hAnsiTheme="minorEastAsia"/>
          <w:b/>
          <w:bCs/>
          <w:sz w:val="32"/>
          <w:u w:val="single"/>
        </w:rPr>
        <w:t xml:space="preserve">  </w:t>
      </w:r>
    </w:p>
    <w:p w14:paraId="1EC2CCD5" w14:textId="77777777" w:rsidR="00E84B12" w:rsidRDefault="00E84B12" w:rsidP="00E84B12">
      <w:pPr>
        <w:spacing w:after="100"/>
        <w:ind w:firstLine="643"/>
        <w:jc w:val="center"/>
        <w:rPr>
          <w:b/>
          <w:bCs/>
          <w:sz w:val="32"/>
        </w:rPr>
      </w:pPr>
    </w:p>
    <w:p w14:paraId="3238C5B8" w14:textId="77777777" w:rsidR="00E84B12" w:rsidRDefault="00E84B12" w:rsidP="00E84B12">
      <w:pPr>
        <w:spacing w:after="100"/>
        <w:rPr>
          <w:b/>
          <w:bCs/>
          <w:sz w:val="32"/>
        </w:rPr>
      </w:pPr>
    </w:p>
    <w:p w14:paraId="4706027A" w14:textId="77777777" w:rsidR="00E84B12" w:rsidRDefault="00E84B12" w:rsidP="00E84B12">
      <w:pPr>
        <w:spacing w:after="100"/>
        <w:ind w:firstLineChars="262" w:firstLine="842"/>
        <w:jc w:val="left"/>
        <w:rPr>
          <w:rFonts w:ascii="宋体" w:hAnsi="宋体"/>
          <w:b/>
          <w:bCs/>
          <w:sz w:val="32"/>
          <w:u w:val="single"/>
        </w:rPr>
      </w:pPr>
      <w:r>
        <w:rPr>
          <w:rFonts w:hint="eastAsia"/>
          <w:b/>
          <w:bCs/>
          <w:sz w:val="32"/>
        </w:rPr>
        <w:t>学</w:t>
      </w:r>
      <w:r>
        <w:rPr>
          <w:b/>
          <w:bCs/>
          <w:sz w:val="32"/>
        </w:rPr>
        <w:t xml:space="preserve">    </w:t>
      </w:r>
      <w:r>
        <w:rPr>
          <w:rFonts w:hint="eastAsia"/>
          <w:b/>
          <w:bCs/>
          <w:sz w:val="32"/>
        </w:rPr>
        <w:t>院：</w:t>
      </w:r>
      <w:r>
        <w:rPr>
          <w:rFonts w:asciiTheme="minorEastAsia" w:eastAsiaTheme="minorEastAsia" w:hAnsiTheme="minorEastAsia" w:hint="eastAsia"/>
          <w:b/>
          <w:bCs/>
          <w:sz w:val="32"/>
          <w:u w:val="single"/>
        </w:rPr>
        <w:t xml:space="preserve">    </w:t>
      </w:r>
      <w:r>
        <w:rPr>
          <w:rFonts w:ascii="宋体" w:hAnsi="宋体" w:hint="eastAsia"/>
          <w:b/>
          <w:bCs/>
          <w:sz w:val="32"/>
          <w:u w:val="single"/>
        </w:rPr>
        <w:t>自动化与电子信息学院</w:t>
      </w:r>
      <w:r>
        <w:rPr>
          <w:rFonts w:asciiTheme="minorEastAsia" w:eastAsiaTheme="minorEastAsia" w:hAnsiTheme="minorEastAsia" w:hint="eastAsia"/>
          <w:b/>
          <w:bCs/>
          <w:sz w:val="32"/>
          <w:u w:val="single"/>
        </w:rPr>
        <w:t xml:space="preserve">      </w:t>
      </w:r>
    </w:p>
    <w:p w14:paraId="4C99EBF8" w14:textId="77777777" w:rsidR="00E84B12" w:rsidRDefault="00E84B12" w:rsidP="00E84B12">
      <w:pPr>
        <w:spacing w:after="100"/>
        <w:ind w:firstLineChars="262" w:firstLine="842"/>
        <w:jc w:val="left"/>
        <w:rPr>
          <w:rFonts w:ascii="宋体" w:hAnsi="宋体"/>
          <w:b/>
          <w:bCs/>
          <w:sz w:val="32"/>
          <w:u w:val="single"/>
        </w:rPr>
      </w:pPr>
      <w:r>
        <w:rPr>
          <w:rFonts w:hint="eastAsia"/>
          <w:b/>
          <w:bCs/>
          <w:sz w:val="32"/>
        </w:rPr>
        <w:t>专</w:t>
      </w:r>
      <w:r>
        <w:rPr>
          <w:b/>
          <w:bCs/>
          <w:sz w:val="32"/>
        </w:rPr>
        <w:t xml:space="preserve">    </w:t>
      </w:r>
      <w:r>
        <w:rPr>
          <w:rFonts w:hint="eastAsia"/>
          <w:b/>
          <w:bCs/>
          <w:sz w:val="32"/>
        </w:rPr>
        <w:t>业：</w:t>
      </w:r>
      <w:r>
        <w:rPr>
          <w:rFonts w:asciiTheme="minorEastAsia" w:eastAsiaTheme="minorEastAsia" w:hAnsiTheme="minorEastAsia" w:hint="eastAsia"/>
          <w:b/>
          <w:bCs/>
          <w:sz w:val="32"/>
          <w:u w:val="single"/>
        </w:rPr>
        <w:t xml:space="preserve">  </w:t>
      </w:r>
      <w:r>
        <w:rPr>
          <w:rFonts w:asciiTheme="minorEastAsia" w:eastAsiaTheme="minorEastAsia" w:hAnsiTheme="minorEastAsia"/>
          <w:b/>
          <w:bCs/>
          <w:sz w:val="32"/>
          <w:u w:val="single"/>
        </w:rPr>
        <w:t xml:space="preserve">     </w:t>
      </w:r>
      <w:r>
        <w:rPr>
          <w:rFonts w:ascii="宋体" w:hAnsi="宋体" w:hint="eastAsia"/>
          <w:b/>
          <w:bCs/>
          <w:sz w:val="32"/>
          <w:u w:val="single"/>
        </w:rPr>
        <w:t>能源动力</w:t>
      </w:r>
      <w:r>
        <w:rPr>
          <w:rFonts w:asciiTheme="minorEastAsia" w:eastAsiaTheme="minorEastAsia" w:hAnsiTheme="minorEastAsia"/>
          <w:b/>
          <w:bCs/>
          <w:sz w:val="32"/>
          <w:u w:val="single"/>
        </w:rPr>
        <w:t xml:space="preserve">               </w:t>
      </w:r>
    </w:p>
    <w:p w14:paraId="47FE6747" w14:textId="65956509" w:rsidR="00E84B12" w:rsidRDefault="00E84B12" w:rsidP="00E84B12">
      <w:pPr>
        <w:spacing w:after="100"/>
        <w:ind w:firstLineChars="262" w:firstLine="842"/>
        <w:jc w:val="left"/>
        <w:rPr>
          <w:rFonts w:ascii="宋体" w:hAnsi="宋体"/>
          <w:b/>
          <w:bCs/>
          <w:sz w:val="32"/>
          <w:u w:val="single"/>
        </w:rPr>
      </w:pPr>
      <w:r>
        <w:rPr>
          <w:rFonts w:hint="eastAsia"/>
          <w:b/>
          <w:bCs/>
          <w:sz w:val="32"/>
        </w:rPr>
        <w:t>学</w:t>
      </w:r>
      <w:r>
        <w:rPr>
          <w:b/>
          <w:bCs/>
          <w:sz w:val="32"/>
        </w:rPr>
        <w:t xml:space="preserve">    </w:t>
      </w:r>
      <w:r>
        <w:rPr>
          <w:rFonts w:hint="eastAsia"/>
          <w:b/>
          <w:bCs/>
          <w:sz w:val="32"/>
        </w:rPr>
        <w:t>号：</w:t>
      </w:r>
      <w:r>
        <w:rPr>
          <w:rFonts w:ascii="宋体" w:hAnsi="宋体" w:hint="eastAsia"/>
          <w:b/>
          <w:bCs/>
          <w:sz w:val="32"/>
          <w:u w:val="single"/>
        </w:rPr>
        <w:t xml:space="preserve">     </w:t>
      </w:r>
      <w:r>
        <w:rPr>
          <w:rFonts w:ascii="宋体" w:hAnsi="宋体"/>
          <w:b/>
          <w:bCs/>
          <w:sz w:val="32"/>
          <w:u w:val="single"/>
        </w:rPr>
        <w:t>2022216232</w:t>
      </w:r>
      <w:r>
        <w:rPr>
          <w:rFonts w:ascii="宋体" w:hAnsi="宋体"/>
          <w:b/>
          <w:bCs/>
          <w:sz w:val="32"/>
          <w:u w:val="single"/>
        </w:rPr>
        <w:t>31</w:t>
      </w:r>
      <w:r>
        <w:rPr>
          <w:rFonts w:ascii="宋体" w:hAnsi="宋体"/>
          <w:b/>
          <w:bCs/>
          <w:sz w:val="32"/>
          <w:u w:val="single"/>
        </w:rPr>
        <w:t xml:space="preserve">             </w:t>
      </w:r>
    </w:p>
    <w:p w14:paraId="05CCF500" w14:textId="3E5B1AC8" w:rsidR="00E84B12" w:rsidRDefault="00E84B12" w:rsidP="00E84B12">
      <w:pPr>
        <w:spacing w:after="100"/>
        <w:ind w:firstLineChars="262" w:firstLine="842"/>
        <w:jc w:val="left"/>
        <w:rPr>
          <w:rFonts w:ascii="宋体" w:hAnsi="宋体"/>
          <w:b/>
          <w:bCs/>
          <w:sz w:val="32"/>
          <w:u w:val="single"/>
        </w:rPr>
      </w:pPr>
      <w:r>
        <w:rPr>
          <w:rFonts w:hint="eastAsia"/>
          <w:b/>
          <w:bCs/>
          <w:sz w:val="32"/>
        </w:rPr>
        <w:t>姓</w:t>
      </w:r>
      <w:r>
        <w:rPr>
          <w:b/>
          <w:bCs/>
          <w:sz w:val="32"/>
        </w:rPr>
        <w:t xml:space="preserve">    </w:t>
      </w:r>
      <w:r>
        <w:rPr>
          <w:rFonts w:hint="eastAsia"/>
          <w:b/>
          <w:bCs/>
          <w:sz w:val="32"/>
        </w:rPr>
        <w:t>名：</w:t>
      </w:r>
      <w:r>
        <w:rPr>
          <w:rFonts w:ascii="宋体" w:hAnsi="宋体" w:hint="eastAsia"/>
          <w:b/>
          <w:bCs/>
          <w:sz w:val="32"/>
          <w:u w:val="single"/>
        </w:rPr>
        <w:t xml:space="preserve">       </w:t>
      </w:r>
      <w:proofErr w:type="gramStart"/>
      <w:r>
        <w:rPr>
          <w:rFonts w:ascii="宋体" w:hAnsi="宋体" w:hint="eastAsia"/>
          <w:b/>
          <w:bCs/>
          <w:sz w:val="32"/>
          <w:u w:val="single"/>
        </w:rPr>
        <w:t>龙元杰</w:t>
      </w:r>
      <w:proofErr w:type="gramEnd"/>
      <w:r>
        <w:rPr>
          <w:rFonts w:ascii="宋体" w:hAnsi="宋体" w:hint="eastAsia"/>
          <w:b/>
          <w:bCs/>
          <w:sz w:val="32"/>
          <w:u w:val="single"/>
        </w:rPr>
        <w:t xml:space="preserve">           </w:t>
      </w:r>
      <w:r>
        <w:rPr>
          <w:rFonts w:ascii="宋体" w:hAnsi="宋体"/>
          <w:b/>
          <w:bCs/>
          <w:sz w:val="32"/>
          <w:u w:val="single"/>
        </w:rPr>
        <w:t xml:space="preserve">     </w:t>
      </w:r>
      <w:r>
        <w:rPr>
          <w:rFonts w:asciiTheme="minorEastAsia" w:eastAsiaTheme="minorEastAsia" w:hAnsiTheme="minorEastAsia" w:hint="eastAsia"/>
          <w:b/>
          <w:bCs/>
          <w:sz w:val="32"/>
          <w:u w:val="single"/>
        </w:rPr>
        <w:t xml:space="preserve"> </w:t>
      </w:r>
    </w:p>
    <w:p w14:paraId="22DFAB30" w14:textId="77777777" w:rsidR="00E84B12" w:rsidRDefault="00E84B12" w:rsidP="00E84B12">
      <w:pPr>
        <w:spacing w:after="100"/>
        <w:ind w:firstLineChars="262" w:firstLine="842"/>
        <w:jc w:val="left"/>
        <w:rPr>
          <w:rFonts w:ascii="宋体" w:hAnsi="宋体"/>
          <w:b/>
          <w:bCs/>
          <w:sz w:val="32"/>
          <w:u w:val="single"/>
        </w:rPr>
      </w:pPr>
      <w:r>
        <w:rPr>
          <w:rFonts w:hint="eastAsia"/>
          <w:b/>
          <w:bCs/>
          <w:sz w:val="32"/>
        </w:rPr>
        <w:t>指导教师：</w:t>
      </w:r>
      <w:r>
        <w:rPr>
          <w:rFonts w:ascii="宋体" w:hAnsi="宋体" w:hint="eastAsia"/>
          <w:b/>
          <w:bCs/>
          <w:sz w:val="32"/>
          <w:u w:val="single"/>
        </w:rPr>
        <w:t xml:space="preserve"> </w:t>
      </w:r>
      <w:r>
        <w:rPr>
          <w:rFonts w:ascii="宋体" w:hAnsi="宋体"/>
          <w:b/>
          <w:bCs/>
          <w:sz w:val="32"/>
          <w:u w:val="single"/>
        </w:rPr>
        <w:t xml:space="preserve">    </w:t>
      </w:r>
      <w:r>
        <w:rPr>
          <w:rFonts w:ascii="宋体" w:hAnsi="宋体" w:hint="eastAsia"/>
          <w:b/>
          <w:bCs/>
          <w:sz w:val="32"/>
          <w:u w:val="single"/>
        </w:rPr>
        <w:t xml:space="preserve">  王昭鸿 </w:t>
      </w:r>
      <w:r>
        <w:rPr>
          <w:rFonts w:ascii="宋体" w:hAnsi="宋体"/>
          <w:b/>
          <w:bCs/>
          <w:sz w:val="32"/>
          <w:u w:val="single"/>
        </w:rPr>
        <w:t xml:space="preserve"> </w:t>
      </w:r>
      <w:r>
        <w:rPr>
          <w:rFonts w:asciiTheme="minorEastAsia" w:eastAsiaTheme="minorEastAsia" w:hAnsiTheme="minorEastAsia" w:hint="eastAsia"/>
          <w:b/>
          <w:bCs/>
          <w:sz w:val="32"/>
          <w:u w:val="single"/>
        </w:rPr>
        <w:t xml:space="preserve">          </w:t>
      </w:r>
      <w:r>
        <w:rPr>
          <w:rFonts w:asciiTheme="minorEastAsia" w:eastAsiaTheme="minorEastAsia" w:hAnsiTheme="minorEastAsia"/>
          <w:b/>
          <w:bCs/>
          <w:sz w:val="32"/>
          <w:u w:val="single"/>
        </w:rPr>
        <w:t xml:space="preserve">     </w:t>
      </w:r>
    </w:p>
    <w:p w14:paraId="79B70E06" w14:textId="77777777" w:rsidR="00E84B12" w:rsidRDefault="00E84B12" w:rsidP="00E84B12">
      <w:pPr>
        <w:spacing w:after="100"/>
        <w:jc w:val="left"/>
        <w:rPr>
          <w:rFonts w:ascii="宋体" w:hAnsi="宋体"/>
          <w:b/>
          <w:bCs/>
          <w:sz w:val="32"/>
          <w:u w:val="single"/>
        </w:rPr>
      </w:pPr>
    </w:p>
    <w:p w14:paraId="7EA20838" w14:textId="77777777" w:rsidR="00E84B12" w:rsidRDefault="00E84B12" w:rsidP="00E84B12">
      <w:pPr>
        <w:spacing w:after="100"/>
        <w:jc w:val="left"/>
        <w:rPr>
          <w:rFonts w:ascii="宋体" w:hAnsi="宋体"/>
          <w:b/>
          <w:bCs/>
          <w:sz w:val="32"/>
          <w:u w:val="single"/>
        </w:rPr>
      </w:pPr>
    </w:p>
    <w:p w14:paraId="292238EB" w14:textId="77777777" w:rsidR="00E84B12" w:rsidRDefault="00E84B12" w:rsidP="00E84B12">
      <w:pPr>
        <w:spacing w:after="100"/>
        <w:jc w:val="left"/>
        <w:rPr>
          <w:rFonts w:ascii="宋体" w:hAnsi="宋体"/>
          <w:b/>
          <w:bCs/>
          <w:sz w:val="32"/>
          <w:u w:val="single"/>
        </w:rPr>
      </w:pPr>
    </w:p>
    <w:p w14:paraId="20EE4A7E" w14:textId="77777777" w:rsidR="00E84B12" w:rsidRPr="009C3933" w:rsidRDefault="00E84B12" w:rsidP="00E84B12">
      <w:pPr>
        <w:spacing w:after="100"/>
        <w:jc w:val="left"/>
        <w:rPr>
          <w:rFonts w:ascii="宋体" w:hAnsi="宋体"/>
          <w:b/>
          <w:bCs/>
          <w:sz w:val="32"/>
          <w:u w:val="single"/>
        </w:rPr>
      </w:pPr>
    </w:p>
    <w:p w14:paraId="3DCBED8F" w14:textId="307C5DBC" w:rsidR="00CB0949" w:rsidRDefault="00000000">
      <w:pPr>
        <w:jc w:val="center"/>
        <w:rPr>
          <w:rFonts w:ascii="黑体" w:eastAsia="黑体" w:hAnsi="黑体" w:cs="黑体"/>
          <w:sz w:val="40"/>
          <w:szCs w:val="40"/>
        </w:rPr>
      </w:pPr>
      <w:r>
        <w:rPr>
          <w:rFonts w:ascii="黑体" w:eastAsia="黑体" w:hAnsi="黑体" w:cs="黑体" w:hint="eastAsia"/>
          <w:sz w:val="40"/>
          <w:szCs w:val="40"/>
        </w:rPr>
        <w:lastRenderedPageBreak/>
        <w:t>电机与控制及其仿真技术</w:t>
      </w:r>
    </w:p>
    <w:p w14:paraId="53654D9B" w14:textId="20C4604C" w:rsidR="00CB0949" w:rsidRPr="002508CD" w:rsidRDefault="002508CD">
      <w:pPr>
        <w:jc w:val="center"/>
        <w:rPr>
          <w:rFonts w:ascii="黑体" w:eastAsia="黑体" w:hAnsi="黑体" w:cs="黑体"/>
          <w:szCs w:val="21"/>
        </w:rPr>
      </w:pPr>
      <w:r w:rsidRPr="002508CD">
        <w:rPr>
          <w:rFonts w:ascii="黑体" w:eastAsia="黑体" w:hAnsi="黑体" w:cs="黑体" w:hint="eastAsia"/>
          <w:szCs w:val="21"/>
        </w:rPr>
        <w:t xml:space="preserve">能源动力 </w:t>
      </w:r>
      <w:proofErr w:type="gramStart"/>
      <w:r w:rsidRPr="002508CD">
        <w:rPr>
          <w:rFonts w:ascii="黑体" w:eastAsia="黑体" w:hAnsi="黑体" w:cs="黑体" w:hint="eastAsia"/>
          <w:szCs w:val="21"/>
        </w:rPr>
        <w:t>龙元杰</w:t>
      </w:r>
      <w:proofErr w:type="gramEnd"/>
      <w:r w:rsidRPr="002508CD">
        <w:rPr>
          <w:rFonts w:ascii="黑体" w:eastAsia="黑体" w:hAnsi="黑体" w:cs="黑体" w:hint="eastAsia"/>
          <w:szCs w:val="21"/>
        </w:rPr>
        <w:t xml:space="preserve"> </w:t>
      </w:r>
      <w:r w:rsidRPr="002508CD">
        <w:rPr>
          <w:rFonts w:ascii="黑体" w:eastAsia="黑体" w:hAnsi="黑体" w:cs="黑体"/>
          <w:szCs w:val="21"/>
        </w:rPr>
        <w:t>202221623231</w:t>
      </w:r>
    </w:p>
    <w:p w14:paraId="705F23A0" w14:textId="77777777" w:rsidR="00CB0949" w:rsidRDefault="00000000">
      <w:pPr>
        <w:spacing w:before="120" w:after="120" w:line="440" w:lineRule="atLeast"/>
        <w:ind w:firstLineChars="200" w:firstLine="480"/>
        <w:rPr>
          <w:sz w:val="24"/>
        </w:rPr>
      </w:pPr>
      <w:r>
        <w:rPr>
          <w:rFonts w:hint="eastAsia"/>
          <w:sz w:val="24"/>
        </w:rPr>
        <w:t>当今时代，随着传统化石资源的日益枯竭，人类对新型能源的呼声越来越高。开发和利用新型可再生的能源以替代储量越来越少的传统化石能源以作为未来的“工业血液”和满足各国人民日常生活需要，成为世界各国的重要课题。无论对于何种能源而言，均无法对其直接使用，需要将能源中蕴含的各种能量转化为各种生产和日常消费所需要的能量。对于传统化石能源而言，可以通过将其燃烧，使其中的热能得以释放，之后再通过蒸汽机、内燃机等机械装置转化为机械能或者通过发电机组转化为电能；而对于新能源来说，燃烧这一种方式显得过于局限，部分种类的新能源甚至无法通过燃烧的方式提供原始能量。面对种类繁多的新能源，人们更多地选择先将新能源中的原始能量转化为电能，之后再将其转化为其他类型的能量。在这种能量的转化过程中，电机和发电机作为转化的执行载体，起到了至关重要的作用。</w:t>
      </w:r>
    </w:p>
    <w:p w14:paraId="0CE695AF" w14:textId="77777777" w:rsidR="00CB0949" w:rsidRDefault="00000000">
      <w:pPr>
        <w:spacing w:before="120" w:after="120" w:line="440" w:lineRule="atLeast"/>
        <w:ind w:firstLineChars="200" w:firstLine="480"/>
        <w:rPr>
          <w:sz w:val="24"/>
        </w:rPr>
      </w:pPr>
      <w:r>
        <w:rPr>
          <w:rFonts w:hint="eastAsia"/>
          <w:sz w:val="24"/>
        </w:rPr>
        <w:t>电机的发展史，起源于近代的英国。</w:t>
      </w:r>
      <w:r>
        <w:rPr>
          <w:rFonts w:hint="eastAsia"/>
          <w:sz w:val="24"/>
        </w:rPr>
        <w:t>1819</w:t>
      </w:r>
      <w:r>
        <w:rPr>
          <w:rFonts w:hint="eastAsia"/>
          <w:sz w:val="24"/>
        </w:rPr>
        <w:t>年，英国物理学家奥斯特发现了一个现象，为电机的发明奠定了物质基础：导体中通入电流之后会使得罗盘的磁针发生移动。这个发现虽然未被转化为理论，却为电机的诞生画下了浓墨重彩的一笔。两年之后，英国物理学界的另一位大牛法拉第，“站”在奥斯特的“肩膀”上，做出了“磁铁不动的情况下，给线圈通电会让它动起来”的假设，并以此做出了实物，也就是世界上第一台电动机。这款电动机虽然简陋，却包含了电动机运行的深刻原理。此后的数百年中，电机经过不断的发展，已经衍生出了多种形式的电机产品，电机设计的相关理论和研究也愈发完善。如今，电机已成为现代生活中不可或缺的一部分，无论是在工业生产，还是人们的日常生活，都起到了举足轻重的作用。</w:t>
      </w:r>
    </w:p>
    <w:p w14:paraId="05090510" w14:textId="77777777" w:rsidR="00CB0949" w:rsidRDefault="00000000">
      <w:pPr>
        <w:spacing w:before="120" w:after="120" w:line="440" w:lineRule="atLeast"/>
        <w:jc w:val="left"/>
        <w:rPr>
          <w:sz w:val="24"/>
        </w:rPr>
      </w:pPr>
      <w:r>
        <w:rPr>
          <w:rFonts w:ascii="黑体" w:eastAsia="黑体" w:hAnsi="黑体" w:cs="黑体" w:hint="eastAsia"/>
          <w:b/>
          <w:bCs/>
          <w:sz w:val="24"/>
        </w:rPr>
        <w:t>电机的发展：从无到有，从</w:t>
      </w:r>
      <w:r>
        <w:rPr>
          <w:rFonts w:eastAsia="黑体" w:cs="Times New Roman"/>
          <w:b/>
          <w:bCs/>
          <w:sz w:val="24"/>
        </w:rPr>
        <w:t>DC</w:t>
      </w:r>
      <w:r>
        <w:rPr>
          <w:rFonts w:ascii="黑体" w:eastAsia="黑体" w:hAnsi="黑体" w:cs="黑体" w:hint="eastAsia"/>
          <w:b/>
          <w:bCs/>
          <w:sz w:val="24"/>
        </w:rPr>
        <w:t>到</w:t>
      </w:r>
      <w:r>
        <w:rPr>
          <w:rFonts w:eastAsia="黑体" w:cs="Times New Roman"/>
          <w:b/>
          <w:bCs/>
          <w:sz w:val="24"/>
        </w:rPr>
        <w:t>AC</w:t>
      </w:r>
    </w:p>
    <w:p w14:paraId="4613E9EA" w14:textId="77777777" w:rsidR="00CB0949" w:rsidRDefault="00000000">
      <w:pPr>
        <w:spacing w:before="120" w:after="120" w:line="440" w:lineRule="atLeast"/>
        <w:ind w:firstLineChars="200" w:firstLine="480"/>
        <w:rPr>
          <w:sz w:val="24"/>
        </w:rPr>
      </w:pPr>
      <w:r>
        <w:rPr>
          <w:rFonts w:hint="eastAsia"/>
          <w:sz w:val="24"/>
        </w:rPr>
        <w:t>电机发展至今，可将电机分为两种：其一是直流电机，其二交流电机。直流电机是最原始的电机，从电机发明之初至今，其结构都没有太大的变化。直流电机的结构主要包括三个部分：定子铁芯、转子</w:t>
      </w:r>
      <w:r>
        <w:rPr>
          <w:rFonts w:hint="eastAsia"/>
          <w:sz w:val="24"/>
        </w:rPr>
        <w:t>(</w:t>
      </w:r>
      <w:r>
        <w:rPr>
          <w:rFonts w:hint="eastAsia"/>
          <w:sz w:val="24"/>
        </w:rPr>
        <w:t>电枢</w:t>
      </w:r>
      <w:r>
        <w:rPr>
          <w:rFonts w:hint="eastAsia"/>
          <w:sz w:val="24"/>
        </w:rPr>
        <w:t>)</w:t>
      </w:r>
      <w:r>
        <w:rPr>
          <w:rFonts w:hint="eastAsia"/>
          <w:sz w:val="24"/>
        </w:rPr>
        <w:t>、机械换向器。通过机械换向器，使得无论电机电枢处于哪一个角度，每一磁极下的绕组内流过的电流方向保持不变，电机电枢和绕组受到同一个方向的洛伦兹力以保持转动方向持续。直流电机能以单一的直流电源直接驱动，无需通过复杂的驱动器得到驱动电流，使</w:t>
      </w:r>
      <w:r>
        <w:rPr>
          <w:rFonts w:hint="eastAsia"/>
          <w:sz w:val="24"/>
        </w:rPr>
        <w:lastRenderedPageBreak/>
        <w:t>得直流电机的调速系统也变得简单可靠：一个电源和一个调压电阻就能组成直流电机的调速系统，大大降低了成本。此外，直流电机的调速特性亦相当优秀，在可调区间内，直流电机的转速和端部输入电压成线性关系，端部电压给的越高，转速也就越快；在电枢带载的情况下，端部电压给的越高，绕组内电流越大，大电流意味着高转矩，使得电枢可带负载也就越大。在交流电机得到广泛应用之前，直流电机几乎应用于各种功率的场合，因此，为了克服永磁体提供的磁场能量有</w:t>
      </w:r>
    </w:p>
    <w:p w14:paraId="05018B35" w14:textId="77777777" w:rsidR="00CB0949" w:rsidRDefault="00000000">
      <w:pPr>
        <w:spacing w:before="120" w:after="120" w:line="440" w:lineRule="atLeast"/>
        <w:jc w:val="center"/>
        <w:rPr>
          <w:sz w:val="24"/>
        </w:rPr>
      </w:pPr>
      <w:r>
        <w:rPr>
          <w:rFonts w:hint="eastAsia"/>
          <w:noProof/>
          <w:sz w:val="24"/>
        </w:rPr>
        <w:drawing>
          <wp:inline distT="0" distB="0" distL="114300" distR="114300" wp14:anchorId="4AB3C990" wp14:editId="6E4874DF">
            <wp:extent cx="3961765" cy="3490595"/>
            <wp:effectExtent l="0" t="0" r="635" b="14605"/>
            <wp:docPr id="1" name="图片 1" descr="6dae3a4974ef4b0feed084fe4998e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dae3a4974ef4b0feed084fe4998e606"/>
                    <pic:cNvPicPr>
                      <a:picLocks noChangeAspect="1"/>
                    </pic:cNvPicPr>
                  </pic:nvPicPr>
                  <pic:blipFill>
                    <a:blip r:embed="rId5"/>
                    <a:stretch>
                      <a:fillRect/>
                    </a:stretch>
                  </pic:blipFill>
                  <pic:spPr>
                    <a:xfrm>
                      <a:off x="0" y="0"/>
                      <a:ext cx="3961765" cy="3490595"/>
                    </a:xfrm>
                    <a:prstGeom prst="rect">
                      <a:avLst/>
                    </a:prstGeom>
                  </pic:spPr>
                </pic:pic>
              </a:graphicData>
            </a:graphic>
          </wp:inline>
        </w:drawing>
      </w:r>
    </w:p>
    <w:p w14:paraId="27461186" w14:textId="77777777" w:rsidR="00CB0949" w:rsidRDefault="00000000">
      <w:pPr>
        <w:spacing w:before="120" w:after="120" w:line="440" w:lineRule="atLeast"/>
        <w:jc w:val="center"/>
        <w:rPr>
          <w:szCs w:val="21"/>
        </w:rPr>
      </w:pPr>
      <w:r>
        <w:rPr>
          <w:rFonts w:hint="eastAsia"/>
          <w:szCs w:val="21"/>
        </w:rPr>
        <w:t>图</w:t>
      </w:r>
      <w:r>
        <w:rPr>
          <w:rFonts w:hint="eastAsia"/>
          <w:szCs w:val="21"/>
        </w:rPr>
        <w:t xml:space="preserve">1  </w:t>
      </w:r>
      <w:r>
        <w:rPr>
          <w:rFonts w:hint="eastAsia"/>
          <w:szCs w:val="21"/>
        </w:rPr>
        <w:t>直流电机结构图</w:t>
      </w:r>
    </w:p>
    <w:p w14:paraId="461B0E08" w14:textId="77777777" w:rsidR="00CB0949" w:rsidRDefault="00000000">
      <w:pPr>
        <w:spacing w:before="120" w:after="120" w:line="440" w:lineRule="atLeast"/>
        <w:jc w:val="center"/>
        <w:rPr>
          <w:sz w:val="24"/>
        </w:rPr>
      </w:pPr>
      <w:r>
        <w:rPr>
          <w:rFonts w:hint="eastAsia"/>
          <w:sz w:val="24"/>
        </w:rPr>
        <w:t>限的这一缺点，以获得更大的磁场和电磁转矩，直流电机除了通过永磁体励磁</w:t>
      </w:r>
      <w:r>
        <w:rPr>
          <w:rFonts w:hint="eastAsia"/>
          <w:sz w:val="24"/>
        </w:rPr>
        <w:t>(</w:t>
      </w:r>
      <w:r>
        <w:rPr>
          <w:rFonts w:hint="eastAsia"/>
          <w:sz w:val="24"/>
        </w:rPr>
        <w:t>即“自励式”</w:t>
      </w:r>
      <w:r>
        <w:rPr>
          <w:rFonts w:hint="eastAsia"/>
          <w:sz w:val="24"/>
        </w:rPr>
        <w:t>)</w:t>
      </w:r>
      <w:r>
        <w:rPr>
          <w:rFonts w:hint="eastAsia"/>
          <w:sz w:val="24"/>
        </w:rPr>
        <w:t>的方式之外，还发展衍生出了定子绕组励磁</w:t>
      </w:r>
      <w:r>
        <w:rPr>
          <w:rFonts w:hint="eastAsia"/>
          <w:sz w:val="24"/>
        </w:rPr>
        <w:t>(</w:t>
      </w:r>
      <w:r>
        <w:rPr>
          <w:rFonts w:hint="eastAsia"/>
          <w:sz w:val="24"/>
        </w:rPr>
        <w:t>即“他励式”</w:t>
      </w:r>
      <w:r>
        <w:rPr>
          <w:rFonts w:hint="eastAsia"/>
          <w:sz w:val="24"/>
        </w:rPr>
        <w:t>)</w:t>
      </w:r>
      <w:r>
        <w:rPr>
          <w:rFonts w:hint="eastAsia"/>
          <w:sz w:val="24"/>
        </w:rPr>
        <w:t>和定子绕组与永磁体共同励磁</w:t>
      </w:r>
      <w:r>
        <w:rPr>
          <w:rFonts w:hint="eastAsia"/>
          <w:sz w:val="24"/>
        </w:rPr>
        <w:t>(</w:t>
      </w:r>
      <w:r>
        <w:rPr>
          <w:rFonts w:hint="eastAsia"/>
          <w:sz w:val="24"/>
        </w:rPr>
        <w:t>即“混励式”</w:t>
      </w:r>
      <w:r>
        <w:rPr>
          <w:rFonts w:hint="eastAsia"/>
          <w:sz w:val="24"/>
        </w:rPr>
        <w:t>)</w:t>
      </w:r>
      <w:r>
        <w:rPr>
          <w:rFonts w:hint="eastAsia"/>
          <w:sz w:val="24"/>
        </w:rPr>
        <w:t>的直流电机，这两种直流电机由于有了定子上安装的绕组线圈，能够通过对其施加更大的电流以获得更大的励磁磁场，再加之在“混励式”直流电机的定子上还有永磁体，因此“他励式”和“混励式”两款直流电机更多地被应用于军事、工业、交通等大功率、高转矩的场合，而“自励式”直流电机则被制作成体积更小，功率和转矩级别更低的小微型电机，广泛使用于日常生活的小型家电以及儿童玩具当中。然而，直流电机虽然拥有优秀的调速特性和简单可靠的调速系统这两张“王牌”，但也存在自身的局限和劣势。与不需要电刷和换向片结构的交流电机而言，机械换向器是直流电机一个致命的缺陷，这一结构给直流电机的整体构成带来了复杂程</w:t>
      </w:r>
      <w:r>
        <w:rPr>
          <w:rFonts w:hint="eastAsia"/>
          <w:sz w:val="24"/>
        </w:rPr>
        <w:lastRenderedPageBreak/>
        <w:t>度的升级，使得直流电机的使用寿命较同等级别的交流电机而言更低，可靠性也不敌交流电机。此外，机械换向器的存在，为直流电机带来了额外损耗。在直流电机工作时，绕组带动机械换向器的换向片和定子刷架上的电刷接触，滑动，再断开，循环反复。这种工作状态下，可以将换向器比作一个变换器上的电力电子开关，电力电子开关在变换器工作时会产生开通和关断损耗，降低变换器的转化效率同时给输出电路带来谐波，对电路工作是不利的。机械换向器的开通和关断而带来的绕组内部的谐波虽然在大多数情况下不被重视，却依然能够带来机械结构的振动和噪声等不利影响，同时，机械换向器的存在，为直流电机带来了额外的能量损耗，使得其自身的能量转化效率降低，这种损耗在大容量电机中是不能接受的，是必须绞尽脑汁也要使其降低的存在。此外，机械换向器的开开断断，在高电压的情况下会造成拉弧，继而产生火花，危害电机寿命，甚至有造成设备和人身伤害的危险。这些缺陷，给交流电机带来了立身和用武之地，大功率、高转矩场合被交流电机替代也逐渐成为趋势，直流电机也慢慢转向小容量、小体积的应用场合继续发光发热。</w:t>
      </w:r>
    </w:p>
    <w:p w14:paraId="16F62645" w14:textId="77777777" w:rsidR="00CB0949" w:rsidRDefault="00000000">
      <w:pPr>
        <w:spacing w:before="120" w:after="120" w:line="440" w:lineRule="atLeast"/>
        <w:ind w:firstLineChars="200" w:firstLine="480"/>
        <w:rPr>
          <w:sz w:val="24"/>
        </w:rPr>
      </w:pPr>
      <w:r>
        <w:rPr>
          <w:rFonts w:hint="eastAsia"/>
          <w:sz w:val="24"/>
        </w:rPr>
        <w:t>实际上，无论是对于直流电机和交流电机而言，其运行的本质无非就是同一磁场区域下的绕组内流过相同方向的电流，使得获得的安培力方向保持不变以获得持续相同的运动趋势；或者说流过相同方向电流的绕组运动和同一磁场方向的磁场运动保持相对同步。直流电机实现这一本质的方式是固定磁场方向，通过换向器使得到达同一极性的磁场区域下的绕组内总是流过相同方向的电流，以此达到每个绕组上的安培力运动趋势相同的目的。对于交流电机而言，缺乏机械换向器的结构使其不能在利用这一方式来实现运行的本质。怎么办？交流电机的发展史告诉人们：当然是选择后者。</w:t>
      </w:r>
      <w:r>
        <w:rPr>
          <w:rFonts w:hint="eastAsia"/>
          <w:sz w:val="24"/>
        </w:rPr>
        <w:t>1885</w:t>
      </w:r>
      <w:r>
        <w:rPr>
          <w:rFonts w:hint="eastAsia"/>
          <w:sz w:val="24"/>
        </w:rPr>
        <w:t>年，意大利物理学家加利莱奥费拉提出了旋转磁场的原理，这一理论的提出为交流电机的产生营造了一个很好的开端，那就是这个理论让电机的磁场“动起来了”，同时，法拉第</w:t>
      </w:r>
      <w:proofErr w:type="gramStart"/>
      <w:r>
        <w:rPr>
          <w:rFonts w:hint="eastAsia"/>
          <w:sz w:val="24"/>
        </w:rPr>
        <w:t>早年提出</w:t>
      </w:r>
      <w:proofErr w:type="gramEnd"/>
      <w:r>
        <w:rPr>
          <w:rFonts w:hint="eastAsia"/>
          <w:sz w:val="24"/>
        </w:rPr>
        <w:t>的电磁感应定律，为交流电机的产生创造出了“第二只脚”，有了这两只“脚”，加利莱奥费拉在随后研制出了两相异步交流电机，标志了交流电机的正式诞生，此后的发展中，交流电机也不局限于异步电机，使用永磁体励磁的永磁同步电机</w:t>
      </w:r>
      <w:r>
        <w:rPr>
          <w:rFonts w:hint="eastAsia"/>
          <w:sz w:val="24"/>
        </w:rPr>
        <w:t>(Permanent Magnet Synchronous Motor, PMSM)</w:t>
      </w:r>
      <w:r>
        <w:rPr>
          <w:rFonts w:hint="eastAsia"/>
          <w:sz w:val="24"/>
        </w:rPr>
        <w:t>同样面世。感应式异步电机和永磁同步电机是发展至今最突出、应用最广泛的两种交流电机。此处特别提一下永磁同步电机。永磁同步电机，顾名思义，使用永磁体的交流电机，和之前提过的直流电机有异曲同工之妙。永磁同步电机主要结构是定子铁芯和电枢</w:t>
      </w:r>
      <w:r>
        <w:rPr>
          <w:rFonts w:hint="eastAsia"/>
          <w:sz w:val="24"/>
        </w:rPr>
        <w:t>(</w:t>
      </w:r>
      <w:r>
        <w:rPr>
          <w:rFonts w:hint="eastAsia"/>
          <w:sz w:val="24"/>
        </w:rPr>
        <w:t>转子</w:t>
      </w:r>
      <w:r>
        <w:rPr>
          <w:rFonts w:hint="eastAsia"/>
          <w:sz w:val="24"/>
        </w:rPr>
        <w:t>)</w:t>
      </w:r>
      <w:r>
        <w:rPr>
          <w:rFonts w:hint="eastAsia"/>
          <w:sz w:val="24"/>
        </w:rPr>
        <w:t>，它没有直流电机</w:t>
      </w:r>
      <w:r>
        <w:rPr>
          <w:rFonts w:hint="eastAsia"/>
          <w:sz w:val="24"/>
        </w:rPr>
        <w:lastRenderedPageBreak/>
        <w:t>的机械换向器，取而代之的是，永磁同步电机使用电子驱动器实现换相的目的。此处用的是“换相”而非“换向”的原因在于，直流电机同一绕组在不同极性的</w:t>
      </w:r>
    </w:p>
    <w:p w14:paraId="7C26E4FA" w14:textId="77777777" w:rsidR="00CB0949" w:rsidRDefault="00000000">
      <w:pPr>
        <w:spacing w:before="120" w:after="120" w:line="440" w:lineRule="atLeast"/>
        <w:jc w:val="center"/>
        <w:rPr>
          <w:sz w:val="24"/>
        </w:rPr>
      </w:pPr>
      <w:r>
        <w:rPr>
          <w:rFonts w:hint="eastAsia"/>
          <w:noProof/>
          <w:sz w:val="24"/>
        </w:rPr>
        <w:drawing>
          <wp:inline distT="0" distB="0" distL="114300" distR="114300" wp14:anchorId="6CB88DDD" wp14:editId="7F27450D">
            <wp:extent cx="4739005" cy="3158490"/>
            <wp:effectExtent l="0" t="0" r="635" b="11430"/>
            <wp:docPr id="3" name="图片 3" descr="b1006bd92d2ad6a7f090ffd5f8fc89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1006bd92d2ad6a7f090ffd5f8fc899f"/>
                    <pic:cNvPicPr>
                      <a:picLocks noChangeAspect="1"/>
                    </pic:cNvPicPr>
                  </pic:nvPicPr>
                  <pic:blipFill>
                    <a:blip r:embed="rId6"/>
                    <a:stretch>
                      <a:fillRect/>
                    </a:stretch>
                  </pic:blipFill>
                  <pic:spPr>
                    <a:xfrm>
                      <a:off x="0" y="0"/>
                      <a:ext cx="4739005" cy="3158490"/>
                    </a:xfrm>
                    <a:prstGeom prst="rect">
                      <a:avLst/>
                    </a:prstGeom>
                  </pic:spPr>
                </pic:pic>
              </a:graphicData>
            </a:graphic>
          </wp:inline>
        </w:drawing>
      </w:r>
    </w:p>
    <w:p w14:paraId="7B2B48B2" w14:textId="77777777" w:rsidR="00CB0949" w:rsidRDefault="00000000">
      <w:pPr>
        <w:spacing w:before="120" w:after="120" w:line="440" w:lineRule="atLeast"/>
        <w:jc w:val="center"/>
        <w:rPr>
          <w:szCs w:val="21"/>
        </w:rPr>
      </w:pPr>
      <w:r>
        <w:rPr>
          <w:rFonts w:hint="eastAsia"/>
          <w:szCs w:val="21"/>
        </w:rPr>
        <w:t>图</w:t>
      </w:r>
      <w:r>
        <w:rPr>
          <w:rFonts w:hint="eastAsia"/>
          <w:szCs w:val="21"/>
        </w:rPr>
        <w:t xml:space="preserve">2  </w:t>
      </w:r>
      <w:r>
        <w:rPr>
          <w:rFonts w:hint="eastAsia"/>
          <w:szCs w:val="21"/>
        </w:rPr>
        <w:t>永磁同步电机</w:t>
      </w:r>
    </w:p>
    <w:p w14:paraId="4690DADC" w14:textId="77777777" w:rsidR="00CB0949" w:rsidRDefault="00000000">
      <w:pPr>
        <w:spacing w:before="120" w:after="120" w:line="440" w:lineRule="atLeast"/>
        <w:jc w:val="center"/>
        <w:rPr>
          <w:sz w:val="24"/>
        </w:rPr>
      </w:pPr>
      <w:r>
        <w:rPr>
          <w:rFonts w:hint="eastAsia"/>
          <w:sz w:val="24"/>
        </w:rPr>
        <w:t>磁极下，需要通过机械换向器改变电流的流经方向，而在交流电机中，定子绕组是分成了多相的，为了通过定子绕组获得旋转的磁场，需要在合适的时候改变流经相同方向电流的相绕组，实现磁场旋转运动的持续。和自励式直流电机相比，永磁同步电机的绕组和永磁体布置“反过来了”，即直流电机安装在定子上的永磁体，被安装到了转子上，而直流电机转子上的绕组结构则出现在永磁同步电机的定子上。当</w:t>
      </w:r>
      <w:proofErr w:type="gramStart"/>
      <w:r>
        <w:rPr>
          <w:rFonts w:hint="eastAsia"/>
          <w:sz w:val="24"/>
        </w:rPr>
        <w:t>给每相定子绕组</w:t>
      </w:r>
      <w:proofErr w:type="gramEnd"/>
      <w:r>
        <w:rPr>
          <w:rFonts w:hint="eastAsia"/>
          <w:sz w:val="24"/>
        </w:rPr>
        <w:t>通上相位不同的交流电时，定子绕组产生旋转磁场，与转子永磁体的永磁磁场铰链，在转子轴上产生电磁转矩，带动转子旋转。由于和直流电机在结构上相似，因此永磁同步电机具有和直流电机相媲美的调速特性和控制优势。随着电力电子技术和计算机技术的发展，多种永磁同步电机的控制策略得到提出和改进完善，同时永磁同步电机的伺服驱动器也得以愈发精密和高效，高效算法、</w:t>
      </w:r>
      <w:proofErr w:type="gramStart"/>
      <w:r>
        <w:rPr>
          <w:rFonts w:hint="eastAsia"/>
          <w:sz w:val="24"/>
        </w:rPr>
        <w:t>精密私服驱动器</w:t>
      </w:r>
      <w:proofErr w:type="gramEnd"/>
      <w:r>
        <w:rPr>
          <w:rFonts w:hint="eastAsia"/>
          <w:sz w:val="24"/>
        </w:rPr>
        <w:t>和永磁同步电机共同构成满足多种需求的交流调速系统，被大量应用于多种场合。实际上，永磁同步电机已不局限于旋转电机这一形式，近年来，以永磁体作为励磁源的永磁直线同步电机</w:t>
      </w:r>
      <w:r>
        <w:rPr>
          <w:rFonts w:hint="eastAsia"/>
          <w:sz w:val="24"/>
        </w:rPr>
        <w:t>(Permanent Magnet Linear Synchronous Motor, PMLSM)</w:t>
      </w:r>
      <w:r>
        <w:rPr>
          <w:rFonts w:hint="eastAsia"/>
          <w:sz w:val="24"/>
        </w:rPr>
        <w:t>得到了越来越多的应用。永磁直线同步电机和旋转形式的永磁同步电机类似，以永磁体励</w:t>
      </w:r>
      <w:r>
        <w:rPr>
          <w:rFonts w:hint="eastAsia"/>
          <w:sz w:val="24"/>
        </w:rPr>
        <w:lastRenderedPageBreak/>
        <w:t>磁，只是永磁同步电机中的旋转磁场，在永磁直线同步电机中是以行波磁场的形式出现。永磁直线同步电机由于其次级</w:t>
      </w:r>
      <w:r>
        <w:rPr>
          <w:rFonts w:hint="eastAsia"/>
          <w:sz w:val="24"/>
        </w:rPr>
        <w:t>(</w:t>
      </w:r>
      <w:r>
        <w:rPr>
          <w:rFonts w:hint="eastAsia"/>
          <w:sz w:val="24"/>
        </w:rPr>
        <w:t>对应于永磁同步电机的转子</w:t>
      </w:r>
      <w:r>
        <w:rPr>
          <w:rFonts w:hint="eastAsia"/>
          <w:sz w:val="24"/>
        </w:rPr>
        <w:t>)</w:t>
      </w:r>
      <w:r>
        <w:rPr>
          <w:rFonts w:hint="eastAsia"/>
          <w:sz w:val="24"/>
        </w:rPr>
        <w:t>以水平直线运动的方式运动，被应用于轨道交通、精密机床、电磁弹射等精密机械中，承担旋转型永磁同步电机所无法承担的</w:t>
      </w:r>
    </w:p>
    <w:p w14:paraId="3E29100D" w14:textId="77777777" w:rsidR="00CB0949" w:rsidRDefault="00000000">
      <w:pPr>
        <w:spacing w:before="120" w:after="120" w:line="440" w:lineRule="atLeast"/>
        <w:jc w:val="center"/>
        <w:rPr>
          <w:sz w:val="24"/>
        </w:rPr>
      </w:pPr>
      <w:r>
        <w:rPr>
          <w:rFonts w:hint="eastAsia"/>
          <w:noProof/>
          <w:sz w:val="24"/>
        </w:rPr>
        <w:drawing>
          <wp:inline distT="0" distB="0" distL="114300" distR="114300" wp14:anchorId="209107F9" wp14:editId="76EBA5DC">
            <wp:extent cx="3552825" cy="2522220"/>
            <wp:effectExtent l="0" t="0" r="13335" b="7620"/>
            <wp:docPr id="7" name="图片 7" descr="8a034240b909c773932dcec96998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a034240b909c773932dcec969988896"/>
                    <pic:cNvPicPr>
                      <a:picLocks noChangeAspect="1"/>
                    </pic:cNvPicPr>
                  </pic:nvPicPr>
                  <pic:blipFill>
                    <a:blip r:embed="rId7"/>
                    <a:stretch>
                      <a:fillRect/>
                    </a:stretch>
                  </pic:blipFill>
                  <pic:spPr>
                    <a:xfrm>
                      <a:off x="0" y="0"/>
                      <a:ext cx="3552825" cy="2522220"/>
                    </a:xfrm>
                    <a:prstGeom prst="rect">
                      <a:avLst/>
                    </a:prstGeom>
                  </pic:spPr>
                </pic:pic>
              </a:graphicData>
            </a:graphic>
          </wp:inline>
        </w:drawing>
      </w:r>
    </w:p>
    <w:p w14:paraId="48598C4D" w14:textId="77777777" w:rsidR="00CB0949" w:rsidRDefault="00000000">
      <w:pPr>
        <w:spacing w:before="120" w:after="120" w:line="440" w:lineRule="atLeast"/>
        <w:jc w:val="center"/>
        <w:rPr>
          <w:szCs w:val="21"/>
        </w:rPr>
      </w:pPr>
      <w:r>
        <w:rPr>
          <w:rFonts w:hint="eastAsia"/>
          <w:szCs w:val="21"/>
        </w:rPr>
        <w:t>图</w:t>
      </w:r>
      <w:r>
        <w:rPr>
          <w:rFonts w:hint="eastAsia"/>
          <w:szCs w:val="21"/>
        </w:rPr>
        <w:t xml:space="preserve">3  </w:t>
      </w:r>
      <w:r>
        <w:rPr>
          <w:rFonts w:hint="eastAsia"/>
          <w:szCs w:val="21"/>
        </w:rPr>
        <w:t>永磁直线同步电机</w:t>
      </w:r>
    </w:p>
    <w:p w14:paraId="2E684E0D" w14:textId="77777777" w:rsidR="00CB0949" w:rsidRDefault="00000000">
      <w:pPr>
        <w:spacing w:before="120" w:after="120" w:line="440" w:lineRule="atLeast"/>
        <w:jc w:val="center"/>
        <w:rPr>
          <w:sz w:val="24"/>
        </w:rPr>
      </w:pPr>
      <w:r>
        <w:rPr>
          <w:rFonts w:hint="eastAsia"/>
          <w:sz w:val="24"/>
        </w:rPr>
        <w:t>特殊需求。对于旋转型永磁同步电机而言，可根据转子结构将永磁同步电机分为内转子</w:t>
      </w:r>
      <w:r>
        <w:rPr>
          <w:rFonts w:hint="eastAsia"/>
          <w:sz w:val="24"/>
        </w:rPr>
        <w:t>(Inner Rotor)</w:t>
      </w:r>
      <w:r>
        <w:rPr>
          <w:rFonts w:hint="eastAsia"/>
          <w:sz w:val="24"/>
        </w:rPr>
        <w:t>和外转子</w:t>
      </w:r>
      <w:r>
        <w:rPr>
          <w:rFonts w:hint="eastAsia"/>
          <w:sz w:val="24"/>
        </w:rPr>
        <w:t>(Outer Rotor)</w:t>
      </w:r>
      <w:r>
        <w:rPr>
          <w:rFonts w:hint="eastAsia"/>
          <w:sz w:val="24"/>
        </w:rPr>
        <w:t>两种结构，在实际应用场合中两种结构可根据需求进行选择和替换，譬如，在小功率的应用场合，如风扇，手持式电动风扇中的电机属于单相外转子永磁同步电机，其扇叶安装于外转子的转子</w:t>
      </w:r>
      <w:proofErr w:type="gramStart"/>
      <w:r>
        <w:rPr>
          <w:rFonts w:hint="eastAsia"/>
          <w:sz w:val="24"/>
        </w:rPr>
        <w:t>轭</w:t>
      </w:r>
      <w:proofErr w:type="gramEnd"/>
      <w:r>
        <w:rPr>
          <w:rFonts w:hint="eastAsia"/>
          <w:sz w:val="24"/>
        </w:rPr>
        <w:t>上；</w:t>
      </w:r>
      <w:r>
        <w:rPr>
          <w:noProof/>
          <w:sz w:val="24"/>
        </w:rPr>
        <w:drawing>
          <wp:inline distT="0" distB="0" distL="114300" distR="114300" wp14:anchorId="4946D0EC" wp14:editId="3CC9CC12">
            <wp:extent cx="1942465" cy="1217295"/>
            <wp:effectExtent l="0" t="0" r="8255" b="1905"/>
            <wp:docPr id="4" name="图片 4" desc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ut"/>
                    <pic:cNvPicPr>
                      <a:picLocks noChangeAspect="1"/>
                    </pic:cNvPicPr>
                  </pic:nvPicPr>
                  <pic:blipFill>
                    <a:blip r:embed="rId8"/>
                    <a:stretch>
                      <a:fillRect/>
                    </a:stretch>
                  </pic:blipFill>
                  <pic:spPr>
                    <a:xfrm>
                      <a:off x="0" y="0"/>
                      <a:ext cx="1942465" cy="1217295"/>
                    </a:xfrm>
                    <a:prstGeom prst="rect">
                      <a:avLst/>
                    </a:prstGeom>
                  </pic:spPr>
                </pic:pic>
              </a:graphicData>
            </a:graphic>
          </wp:inline>
        </w:drawing>
      </w:r>
      <w:r>
        <w:rPr>
          <w:rFonts w:hint="eastAsia"/>
          <w:noProof/>
          <w:sz w:val="24"/>
        </w:rPr>
        <w:drawing>
          <wp:inline distT="0" distB="0" distL="114300" distR="114300" wp14:anchorId="24A69C51" wp14:editId="26C797BC">
            <wp:extent cx="1245870" cy="1190625"/>
            <wp:effectExtent l="0" t="0" r="3810" b="13335"/>
            <wp:docPr id="5" name="图片 5" descr="69ba4bb4c011405b6424ec93150a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9ba4bb4c011405b6424ec93150acc6"/>
                    <pic:cNvPicPr>
                      <a:picLocks noChangeAspect="1"/>
                    </pic:cNvPicPr>
                  </pic:nvPicPr>
                  <pic:blipFill>
                    <a:blip r:embed="rId9"/>
                    <a:stretch>
                      <a:fillRect/>
                    </a:stretch>
                  </pic:blipFill>
                  <pic:spPr>
                    <a:xfrm>
                      <a:off x="0" y="0"/>
                      <a:ext cx="1245870" cy="1190625"/>
                    </a:xfrm>
                    <a:prstGeom prst="rect">
                      <a:avLst/>
                    </a:prstGeom>
                  </pic:spPr>
                </pic:pic>
              </a:graphicData>
            </a:graphic>
          </wp:inline>
        </w:drawing>
      </w:r>
    </w:p>
    <w:p w14:paraId="728707A9" w14:textId="77777777" w:rsidR="00CB0949" w:rsidRDefault="00000000">
      <w:pPr>
        <w:spacing w:before="120" w:after="120" w:line="440" w:lineRule="atLeast"/>
        <w:jc w:val="center"/>
        <w:rPr>
          <w:szCs w:val="21"/>
        </w:rPr>
      </w:pPr>
      <w:r>
        <w:rPr>
          <w:rFonts w:hint="eastAsia"/>
          <w:szCs w:val="21"/>
        </w:rPr>
        <w:t>图</w:t>
      </w:r>
      <w:r>
        <w:rPr>
          <w:rFonts w:hint="eastAsia"/>
          <w:szCs w:val="21"/>
        </w:rPr>
        <w:t xml:space="preserve">4  </w:t>
      </w:r>
      <w:r>
        <w:rPr>
          <w:rFonts w:hint="eastAsia"/>
          <w:szCs w:val="21"/>
        </w:rPr>
        <w:t>永磁同步电机的两种转子</w:t>
      </w:r>
      <w:r>
        <w:rPr>
          <w:rFonts w:hint="eastAsia"/>
          <w:szCs w:val="21"/>
        </w:rPr>
        <w:t>(</w:t>
      </w:r>
      <w:r>
        <w:rPr>
          <w:rFonts w:hint="eastAsia"/>
          <w:szCs w:val="21"/>
        </w:rPr>
        <w:t>左为外转子，右为内转子</w:t>
      </w:r>
      <w:r>
        <w:rPr>
          <w:rFonts w:hint="eastAsia"/>
          <w:szCs w:val="21"/>
        </w:rPr>
        <w:t>)</w:t>
      </w:r>
    </w:p>
    <w:p w14:paraId="413DCE6A" w14:textId="77777777" w:rsidR="00CB0949" w:rsidRDefault="00000000">
      <w:pPr>
        <w:spacing w:before="120" w:after="120" w:line="440" w:lineRule="atLeast"/>
        <w:rPr>
          <w:sz w:val="24"/>
        </w:rPr>
      </w:pPr>
      <w:r>
        <w:rPr>
          <w:rFonts w:hint="eastAsia"/>
          <w:sz w:val="24"/>
        </w:rPr>
        <w:t>落地式或者花篮子式的风扇中所用的是内转子永磁同步电机，由转子轴牵引扇叶旋转。除了转子结构的分类，还可以按照永磁体安装方式将永磁同步电机分为表贴式永磁同步电机</w:t>
      </w:r>
      <w:r>
        <w:rPr>
          <w:rFonts w:hint="eastAsia"/>
          <w:sz w:val="24"/>
        </w:rPr>
        <w:t>(</w:t>
      </w:r>
      <w:r>
        <w:rPr>
          <w:rFonts w:cs="Times New Roman"/>
          <w:sz w:val="24"/>
        </w:rPr>
        <w:t>Surface</w:t>
      </w:r>
      <w:r>
        <w:rPr>
          <w:rFonts w:cs="Times New Roman"/>
          <w:color w:val="434343"/>
          <w:sz w:val="24"/>
          <w:shd w:val="clear" w:color="auto" w:fill="FCFCFE"/>
        </w:rPr>
        <w:t>-mounted</w:t>
      </w:r>
      <w:r>
        <w:rPr>
          <w:rFonts w:cs="Times New Roman"/>
          <w:sz w:val="24"/>
        </w:rPr>
        <w:t xml:space="preserve"> Permanent Magnet Synchronous Motor</w:t>
      </w:r>
      <w:r>
        <w:rPr>
          <w:rFonts w:hint="eastAsia"/>
          <w:sz w:val="24"/>
        </w:rPr>
        <w:t>)</w:t>
      </w:r>
      <w:r>
        <w:rPr>
          <w:rFonts w:hint="eastAsia"/>
          <w:sz w:val="24"/>
        </w:rPr>
        <w:t>和内置式永磁同步电机</w:t>
      </w:r>
      <w:r>
        <w:rPr>
          <w:rFonts w:hint="eastAsia"/>
          <w:sz w:val="24"/>
        </w:rPr>
        <w:t>(</w:t>
      </w:r>
      <w:r>
        <w:rPr>
          <w:rFonts w:cs="Times New Roman"/>
          <w:sz w:val="24"/>
        </w:rPr>
        <w:t>In</w:t>
      </w:r>
      <w:r>
        <w:rPr>
          <w:rFonts w:cs="Times New Roman" w:hint="eastAsia"/>
          <w:sz w:val="24"/>
        </w:rPr>
        <w:t>t</w:t>
      </w:r>
      <w:r>
        <w:rPr>
          <w:rFonts w:cs="Times New Roman"/>
          <w:sz w:val="24"/>
        </w:rPr>
        <w:t>er</w:t>
      </w:r>
      <w:r>
        <w:rPr>
          <w:rFonts w:cs="Times New Roman" w:hint="eastAsia"/>
          <w:sz w:val="24"/>
        </w:rPr>
        <w:t>ior</w:t>
      </w:r>
      <w:r>
        <w:rPr>
          <w:rFonts w:cs="Times New Roman"/>
          <w:sz w:val="24"/>
        </w:rPr>
        <w:t xml:space="preserve"> Permanent Magnet Synchronous Motor</w:t>
      </w:r>
      <w:r>
        <w:rPr>
          <w:rFonts w:hint="eastAsia"/>
          <w:sz w:val="24"/>
        </w:rPr>
        <w:t>)</w:t>
      </w:r>
      <w:r>
        <w:rPr>
          <w:rFonts w:hint="eastAsia"/>
          <w:sz w:val="24"/>
        </w:rPr>
        <w:t>两种。表贴式永磁同步电机</w:t>
      </w:r>
      <w:r>
        <w:rPr>
          <w:rFonts w:hint="eastAsia"/>
          <w:sz w:val="24"/>
        </w:rPr>
        <w:t>(</w:t>
      </w:r>
      <w:r>
        <w:rPr>
          <w:rFonts w:cs="Times New Roman"/>
          <w:sz w:val="24"/>
        </w:rPr>
        <w:t>Surface</w:t>
      </w:r>
      <w:r>
        <w:rPr>
          <w:rFonts w:cs="Times New Roman"/>
          <w:color w:val="434343"/>
          <w:sz w:val="24"/>
          <w:shd w:val="clear" w:color="auto" w:fill="FCFCFE"/>
        </w:rPr>
        <w:t>-mounted</w:t>
      </w:r>
      <w:r>
        <w:rPr>
          <w:rFonts w:cs="Times New Roman"/>
          <w:sz w:val="24"/>
        </w:rPr>
        <w:t xml:space="preserve"> Permanent Magnet Synchronous Motor</w:t>
      </w:r>
      <w:r>
        <w:rPr>
          <w:rFonts w:hint="eastAsia"/>
          <w:sz w:val="24"/>
        </w:rPr>
        <w:t>)</w:t>
      </w:r>
      <w:r>
        <w:rPr>
          <w:rFonts w:hint="eastAsia"/>
          <w:sz w:val="24"/>
        </w:rPr>
        <w:t>的永磁体一般做成瓦片状或者面包形，瓦片状永磁体表贴式永磁同步电机拥有均匀的气隙，是最</w:t>
      </w:r>
      <w:r>
        <w:rPr>
          <w:rFonts w:hint="eastAsia"/>
          <w:sz w:val="24"/>
        </w:rPr>
        <w:lastRenderedPageBreak/>
        <w:t>为普遍使用的结构，该结构使得电机能够获得均匀的磁场；然而，由于开槽和</w:t>
      </w:r>
      <w:proofErr w:type="gramStart"/>
      <w:r>
        <w:rPr>
          <w:rFonts w:hint="eastAsia"/>
          <w:sz w:val="24"/>
        </w:rPr>
        <w:t>极槽配合</w:t>
      </w:r>
      <w:proofErr w:type="gramEnd"/>
      <w:r>
        <w:rPr>
          <w:rFonts w:hint="eastAsia"/>
          <w:sz w:val="24"/>
        </w:rPr>
        <w:t>的因素，均匀气隙往往让电机无法避免受到齿槽转矩、电流谐波、机械结构振动和噪声的影响；面包形永磁体则具有不均匀的气隙宽度，其往往作为特殊结构以减小磁场谐波，改善电机的运行性能而被愈发重视。内置式永磁同步电机</w:t>
      </w:r>
      <w:r>
        <w:rPr>
          <w:rFonts w:hint="eastAsia"/>
          <w:sz w:val="24"/>
        </w:rPr>
        <w:t>(</w:t>
      </w:r>
      <w:r>
        <w:rPr>
          <w:rFonts w:cs="Times New Roman"/>
          <w:sz w:val="24"/>
        </w:rPr>
        <w:t>In</w:t>
      </w:r>
      <w:r>
        <w:rPr>
          <w:rFonts w:cs="Times New Roman" w:hint="eastAsia"/>
          <w:sz w:val="24"/>
        </w:rPr>
        <w:t>t</w:t>
      </w:r>
      <w:r>
        <w:rPr>
          <w:rFonts w:cs="Times New Roman"/>
          <w:sz w:val="24"/>
        </w:rPr>
        <w:t>er</w:t>
      </w:r>
      <w:r>
        <w:rPr>
          <w:rFonts w:cs="Times New Roman" w:hint="eastAsia"/>
          <w:sz w:val="24"/>
        </w:rPr>
        <w:t>ior</w:t>
      </w:r>
      <w:r>
        <w:rPr>
          <w:rFonts w:cs="Times New Roman"/>
          <w:sz w:val="24"/>
        </w:rPr>
        <w:t xml:space="preserve"> Permanent Magnet Synchronous Motor</w:t>
      </w:r>
      <w:r>
        <w:rPr>
          <w:rFonts w:hint="eastAsia"/>
          <w:sz w:val="24"/>
        </w:rPr>
        <w:t>)</w:t>
      </w:r>
      <w:r>
        <w:rPr>
          <w:rFonts w:hint="eastAsia"/>
          <w:sz w:val="24"/>
        </w:rPr>
        <w:t>的永磁体和表贴式永磁同步电机的永磁体安装方式不同，内置式永磁同步电机的永磁体安装在转子</w:t>
      </w:r>
      <w:proofErr w:type="gramStart"/>
      <w:r>
        <w:rPr>
          <w:rFonts w:hint="eastAsia"/>
          <w:sz w:val="24"/>
        </w:rPr>
        <w:t>轭</w:t>
      </w:r>
      <w:proofErr w:type="gramEnd"/>
      <w:r>
        <w:rPr>
          <w:rFonts w:hint="eastAsia"/>
          <w:sz w:val="24"/>
        </w:rPr>
        <w:t>的内部。若把转子径向截面比作地球截面，内置式永磁同步电机的永磁体“埋”在转子“地表”以下。内置式的永磁体安装方式需要沿轴向在转子内部开槽和开贯穿孔，这使得永磁体发出的磁力线在径向分布上的密度不相同，让电机在同步旋转坐标系下的电感分量不相等，使得电机转矩组成发生了变化，如下式所示，前一部分为</w:t>
      </w:r>
    </w:p>
    <w:p w14:paraId="7B248143" w14:textId="77777777" w:rsidR="00CB0949" w:rsidRDefault="00000000">
      <w:pPr>
        <w:spacing w:before="120" w:after="120" w:line="440" w:lineRule="atLeast"/>
        <w:jc w:val="center"/>
        <w:rPr>
          <w:sz w:val="24"/>
        </w:rPr>
      </w:pPr>
      <w:r>
        <w:rPr>
          <w:rFonts w:cs="Times New Roman"/>
          <w:position w:val="-14"/>
          <w:sz w:val="24"/>
        </w:rPr>
        <w:object w:dxaOrig="2760" w:dyaOrig="380" w14:anchorId="5214C5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9pt" o:ole="">
            <v:imagedata r:id="rId10" o:title=""/>
          </v:shape>
          <o:OLEObject Type="Embed" ProgID="Equation.3" ShapeID="_x0000_i1025" DrawAspect="Content" ObjectID="_1749301125" r:id="rId11"/>
        </w:object>
      </w:r>
    </w:p>
    <w:p w14:paraId="427FCF7E" w14:textId="77777777" w:rsidR="00CB0949" w:rsidRDefault="00000000">
      <w:pPr>
        <w:spacing w:before="120" w:after="120" w:line="440" w:lineRule="atLeast"/>
        <w:rPr>
          <w:sz w:val="24"/>
        </w:rPr>
      </w:pPr>
      <w:r>
        <w:rPr>
          <w:rFonts w:hint="eastAsia"/>
          <w:sz w:val="24"/>
        </w:rPr>
        <w:t>永磁体带来的永磁转矩，后面这一部分则是由磁力线在径向分布上的密度不同而产生的磁阻转矩。如此以来，为了充分利用内置式永磁同步电机特有的磁阻转矩，内置式永磁同步电机更多地采用最大转矩电流比策略</w:t>
      </w:r>
      <w:r>
        <w:rPr>
          <w:rFonts w:hint="eastAsia"/>
          <w:sz w:val="24"/>
        </w:rPr>
        <w:t>(</w:t>
      </w:r>
      <w:r>
        <w:rPr>
          <w:rFonts w:cs="Times New Roman" w:hint="eastAsia"/>
          <w:sz w:val="24"/>
        </w:rPr>
        <w:t>Maximum Torque Per Ampere</w:t>
      </w:r>
      <w:r>
        <w:rPr>
          <w:rFonts w:cs="Times New Roman" w:hint="eastAsia"/>
          <w:sz w:val="24"/>
        </w:rPr>
        <w:t>，</w:t>
      </w:r>
      <w:r>
        <w:rPr>
          <w:rFonts w:cs="Times New Roman" w:hint="eastAsia"/>
          <w:sz w:val="24"/>
        </w:rPr>
        <w:t>MTPA</w:t>
      </w:r>
      <w:r>
        <w:rPr>
          <w:rFonts w:hint="eastAsia"/>
          <w:sz w:val="24"/>
        </w:rPr>
        <w:t>)</w:t>
      </w:r>
      <w:r>
        <w:rPr>
          <w:rFonts w:hint="eastAsia"/>
          <w:sz w:val="24"/>
        </w:rPr>
        <w:t>，在最大转矩电流比策略下，电机能够以最小的定子电流，获得最大的电磁转矩，使得电机对电磁转矩得以充分的利用。</w:t>
      </w:r>
    </w:p>
    <w:p w14:paraId="3C47DAD5" w14:textId="77777777" w:rsidR="00CB0949" w:rsidRDefault="00000000">
      <w:pPr>
        <w:spacing w:before="120" w:after="120" w:line="440" w:lineRule="atLeast"/>
        <w:ind w:firstLineChars="200" w:firstLine="480"/>
        <w:rPr>
          <w:sz w:val="24"/>
        </w:rPr>
      </w:pPr>
      <w:r>
        <w:rPr>
          <w:rFonts w:hint="eastAsia"/>
          <w:sz w:val="24"/>
        </w:rPr>
        <w:t>当然，电机的发展并不会就此停滞，以电机为中心的调速系统伴随着电力电子技术和电力电子器件的发展和控制策略的更新而走向更高的水平。此外，譬如无槽电机、步进电机、开关磁阻电机、筒状直线电机等满足多种不同需求的特种电机也在不断的问世和改善，各种金属材料、永磁材料的生产和加工工艺的进步助推了电机长足发展，不断</w:t>
      </w:r>
      <w:r>
        <w:rPr>
          <w:rFonts w:ascii="宋体" w:hAnsi="宋体" w:cs="宋体" w:hint="eastAsia"/>
          <w:sz w:val="24"/>
        </w:rPr>
        <w:t>满足着国民经济各部门和人类生活的需要</w:t>
      </w:r>
      <w:r>
        <w:rPr>
          <w:rFonts w:hint="eastAsia"/>
          <w:sz w:val="24"/>
        </w:rPr>
        <w:t>。</w:t>
      </w:r>
    </w:p>
    <w:p w14:paraId="2BA2F0DA" w14:textId="77777777" w:rsidR="00CB0949" w:rsidRDefault="00000000">
      <w:pPr>
        <w:spacing w:before="120" w:after="120" w:line="440" w:lineRule="atLeast"/>
        <w:jc w:val="left"/>
        <w:rPr>
          <w:sz w:val="24"/>
        </w:rPr>
      </w:pPr>
      <w:r>
        <w:rPr>
          <w:rFonts w:ascii="黑体" w:eastAsia="黑体" w:hAnsi="黑体" w:cs="黑体" w:hint="eastAsia"/>
          <w:b/>
          <w:bCs/>
          <w:sz w:val="24"/>
        </w:rPr>
        <w:t>电机的仿真：多平台强</w:t>
      </w:r>
      <w:proofErr w:type="gramStart"/>
      <w:r>
        <w:rPr>
          <w:rFonts w:ascii="黑体" w:eastAsia="黑体" w:hAnsi="黑体" w:cs="黑体" w:hint="eastAsia"/>
          <w:b/>
          <w:bCs/>
          <w:sz w:val="24"/>
        </w:rPr>
        <w:t>强</w:t>
      </w:r>
      <w:proofErr w:type="gramEnd"/>
      <w:r>
        <w:rPr>
          <w:rFonts w:ascii="黑体" w:eastAsia="黑体" w:hAnsi="黑体" w:cs="黑体" w:hint="eastAsia"/>
          <w:b/>
          <w:bCs/>
          <w:sz w:val="24"/>
        </w:rPr>
        <w:t>联合的协同仿真</w:t>
      </w:r>
    </w:p>
    <w:p w14:paraId="24FE9C03" w14:textId="77777777" w:rsidR="00CB0949" w:rsidRDefault="00000000">
      <w:pPr>
        <w:spacing w:before="120" w:after="120" w:line="440" w:lineRule="atLeast"/>
        <w:ind w:firstLineChars="200" w:firstLine="480"/>
        <w:rPr>
          <w:sz w:val="24"/>
        </w:rPr>
      </w:pPr>
      <w:r>
        <w:rPr>
          <w:rFonts w:hint="eastAsia"/>
          <w:sz w:val="24"/>
        </w:rPr>
        <w:t>以永磁同步电机的仿真为例，</w:t>
      </w:r>
      <w:r>
        <w:rPr>
          <w:sz w:val="24"/>
        </w:rPr>
        <w:t>在对永磁同步电机调速系统的仿真分析中，较为普遍的方式有两种：其一是基于电路模型的传统</w:t>
      </w:r>
      <w:proofErr w:type="spellStart"/>
      <w:r>
        <w:rPr>
          <w:sz w:val="24"/>
        </w:rPr>
        <w:t>Matlab</w:t>
      </w:r>
      <w:proofErr w:type="spellEnd"/>
      <w:r>
        <w:rPr>
          <w:sz w:val="24"/>
        </w:rPr>
        <w:t>/Simulink</w:t>
      </w:r>
      <w:r>
        <w:rPr>
          <w:sz w:val="24"/>
        </w:rPr>
        <w:t>单一平台仿真分析，其二是基于电磁场的有限元模型的仿真分析。两者各有其优势，传统</w:t>
      </w:r>
      <w:proofErr w:type="spellStart"/>
      <w:r>
        <w:rPr>
          <w:sz w:val="24"/>
        </w:rPr>
        <w:t>Matlab</w:t>
      </w:r>
      <w:proofErr w:type="spellEnd"/>
      <w:r>
        <w:rPr>
          <w:sz w:val="24"/>
        </w:rPr>
        <w:t>/Simulink</w:t>
      </w:r>
      <w:r>
        <w:rPr>
          <w:sz w:val="24"/>
        </w:rPr>
        <w:t>单一平台仿真分析主要基于数学模型和电路模型对电机调速系统的参数进行数学计算，具有结果精度好，速度快的优势；基于电磁场的有限元仿真通过将电机模型采用有限的网格剖分，分析电机内部的电磁情况，能很好的反应电机本身的性能优劣。然而，二者又具有各自的局限性。传统</w:t>
      </w:r>
      <w:proofErr w:type="spellStart"/>
      <w:r>
        <w:rPr>
          <w:sz w:val="24"/>
        </w:rPr>
        <w:t>Matlab</w:t>
      </w:r>
      <w:proofErr w:type="spellEnd"/>
      <w:r>
        <w:rPr>
          <w:sz w:val="24"/>
        </w:rPr>
        <w:t>/Simulink</w:t>
      </w:r>
      <w:r>
        <w:rPr>
          <w:sz w:val="24"/>
        </w:rPr>
        <w:lastRenderedPageBreak/>
        <w:t>单一平台仿真分析缺乏对电机本身性能的有效分析，基于电磁场的有限元分析缺乏对调速系统整体运行情况的分析。随着仿真技术的发展，场路耦合法的出现克服了前述两种方式的局限。它适用于动态、复杂的调速系统，能够在保证结果的精确度下对整个永磁同步电机调速系统的不同工况和运行状态进行建模与仿真分析，对实际永磁同步电机调速系统的性能考察具有重要参考价值。</w:t>
      </w:r>
    </w:p>
    <w:p w14:paraId="56B3D723" w14:textId="77777777" w:rsidR="00CB0949" w:rsidRDefault="00000000">
      <w:pPr>
        <w:spacing w:line="400" w:lineRule="atLeast"/>
        <w:ind w:firstLineChars="200" w:firstLine="480"/>
        <w:rPr>
          <w:sz w:val="24"/>
        </w:rPr>
      </w:pPr>
      <w:r>
        <w:rPr>
          <w:rFonts w:hint="eastAsia"/>
          <w:sz w:val="24"/>
        </w:rPr>
        <w:t>以一台</w:t>
      </w:r>
      <w:r>
        <w:rPr>
          <w:rFonts w:hint="eastAsia"/>
          <w:sz w:val="24"/>
        </w:rPr>
        <w:t>1 kW</w:t>
      </w:r>
      <w:r>
        <w:rPr>
          <w:rFonts w:hint="eastAsia"/>
          <w:sz w:val="24"/>
        </w:rPr>
        <w:t>的内置式永磁同步电机为研究对象，其主要技术参数如下表所示。</w:t>
      </w:r>
    </w:p>
    <w:tbl>
      <w:tblPr>
        <w:tblStyle w:val="a3"/>
        <w:tblW w:w="8701" w:type="dxa"/>
        <w:tblLook w:val="04A0" w:firstRow="1" w:lastRow="0" w:firstColumn="1" w:lastColumn="0" w:noHBand="0" w:noVBand="1"/>
      </w:tblPr>
      <w:tblGrid>
        <w:gridCol w:w="946"/>
        <w:gridCol w:w="947"/>
        <w:gridCol w:w="947"/>
        <w:gridCol w:w="947"/>
        <w:gridCol w:w="947"/>
        <w:gridCol w:w="947"/>
        <w:gridCol w:w="947"/>
        <w:gridCol w:w="947"/>
        <w:gridCol w:w="1126"/>
      </w:tblGrid>
      <w:tr w:rsidR="00CB0949" w14:paraId="219880B0" w14:textId="77777777">
        <w:tc>
          <w:tcPr>
            <w:tcW w:w="946" w:type="dxa"/>
            <w:tcBorders>
              <w:top w:val="single" w:sz="12" w:space="0" w:color="000000"/>
              <w:left w:val="single" w:sz="4" w:space="0" w:color="FFFFFF"/>
              <w:bottom w:val="single" w:sz="6" w:space="0" w:color="000000"/>
              <w:right w:val="single" w:sz="4" w:space="0" w:color="FFFFFF"/>
            </w:tcBorders>
          </w:tcPr>
          <w:p w14:paraId="4C512E75" w14:textId="77777777" w:rsidR="00CB0949" w:rsidRDefault="00000000">
            <w:pPr>
              <w:spacing w:line="400" w:lineRule="atLeast"/>
              <w:jc w:val="center"/>
              <w:rPr>
                <w:sz w:val="18"/>
                <w:szCs w:val="18"/>
              </w:rPr>
            </w:pPr>
            <w:r>
              <w:rPr>
                <w:rFonts w:hint="eastAsia"/>
                <w:sz w:val="18"/>
                <w:szCs w:val="18"/>
              </w:rPr>
              <w:t>额定功率</w:t>
            </w:r>
            <w:r>
              <w:rPr>
                <w:rFonts w:hint="eastAsia"/>
                <w:sz w:val="18"/>
                <w:szCs w:val="18"/>
              </w:rPr>
              <w:t>/kw</w:t>
            </w:r>
          </w:p>
        </w:tc>
        <w:tc>
          <w:tcPr>
            <w:tcW w:w="947" w:type="dxa"/>
            <w:tcBorders>
              <w:top w:val="single" w:sz="12" w:space="0" w:color="000000"/>
              <w:left w:val="single" w:sz="4" w:space="0" w:color="FFFFFF"/>
              <w:bottom w:val="single" w:sz="6" w:space="0" w:color="000000"/>
              <w:right w:val="single" w:sz="4" w:space="0" w:color="FFFFFF"/>
            </w:tcBorders>
          </w:tcPr>
          <w:p w14:paraId="6170290D" w14:textId="77777777" w:rsidR="00CB0949" w:rsidRDefault="00000000">
            <w:pPr>
              <w:spacing w:line="400" w:lineRule="atLeast"/>
              <w:jc w:val="center"/>
              <w:rPr>
                <w:sz w:val="18"/>
                <w:szCs w:val="18"/>
              </w:rPr>
            </w:pPr>
            <w:r>
              <w:rPr>
                <w:rFonts w:hint="eastAsia"/>
                <w:sz w:val="18"/>
                <w:szCs w:val="18"/>
              </w:rPr>
              <w:t>额定转速</w:t>
            </w:r>
            <w:r>
              <w:rPr>
                <w:rFonts w:hint="eastAsia"/>
                <w:sz w:val="18"/>
                <w:szCs w:val="18"/>
              </w:rPr>
              <w:t>/rpm</w:t>
            </w:r>
          </w:p>
        </w:tc>
        <w:tc>
          <w:tcPr>
            <w:tcW w:w="947" w:type="dxa"/>
            <w:tcBorders>
              <w:top w:val="single" w:sz="12" w:space="0" w:color="000000"/>
              <w:left w:val="single" w:sz="4" w:space="0" w:color="FFFFFF"/>
              <w:bottom w:val="single" w:sz="6" w:space="0" w:color="000000"/>
              <w:right w:val="single" w:sz="4" w:space="0" w:color="FFFFFF"/>
            </w:tcBorders>
          </w:tcPr>
          <w:p w14:paraId="26E3BCCE" w14:textId="77777777" w:rsidR="00CB0949" w:rsidRDefault="00000000">
            <w:pPr>
              <w:spacing w:line="400" w:lineRule="atLeast"/>
              <w:jc w:val="center"/>
              <w:rPr>
                <w:sz w:val="18"/>
                <w:szCs w:val="18"/>
              </w:rPr>
            </w:pPr>
            <w:r>
              <w:rPr>
                <w:rFonts w:hint="eastAsia"/>
                <w:sz w:val="18"/>
                <w:szCs w:val="18"/>
              </w:rPr>
              <w:t>额定电压</w:t>
            </w:r>
            <w:r>
              <w:rPr>
                <w:rFonts w:hint="eastAsia"/>
                <w:sz w:val="18"/>
                <w:szCs w:val="18"/>
              </w:rPr>
              <w:t>/V</w:t>
            </w:r>
          </w:p>
        </w:tc>
        <w:tc>
          <w:tcPr>
            <w:tcW w:w="947" w:type="dxa"/>
            <w:tcBorders>
              <w:top w:val="single" w:sz="12" w:space="0" w:color="000000"/>
              <w:left w:val="single" w:sz="4" w:space="0" w:color="FFFFFF"/>
              <w:bottom w:val="single" w:sz="6" w:space="0" w:color="000000"/>
              <w:right w:val="single" w:sz="4" w:space="0" w:color="FFFFFF"/>
            </w:tcBorders>
          </w:tcPr>
          <w:p w14:paraId="09CEDF97" w14:textId="77777777" w:rsidR="00CB0949" w:rsidRDefault="00000000">
            <w:pPr>
              <w:spacing w:line="400" w:lineRule="atLeast"/>
              <w:jc w:val="center"/>
              <w:rPr>
                <w:sz w:val="18"/>
                <w:szCs w:val="18"/>
              </w:rPr>
            </w:pPr>
            <w:proofErr w:type="gramStart"/>
            <w:r>
              <w:rPr>
                <w:rFonts w:hint="eastAsia"/>
                <w:sz w:val="18"/>
                <w:szCs w:val="18"/>
              </w:rPr>
              <w:t>定子槽数</w:t>
            </w:r>
            <w:proofErr w:type="gramEnd"/>
          </w:p>
        </w:tc>
        <w:tc>
          <w:tcPr>
            <w:tcW w:w="947" w:type="dxa"/>
            <w:tcBorders>
              <w:top w:val="single" w:sz="12" w:space="0" w:color="000000"/>
              <w:left w:val="single" w:sz="4" w:space="0" w:color="FFFFFF"/>
              <w:bottom w:val="single" w:sz="6" w:space="0" w:color="000000"/>
              <w:right w:val="single" w:sz="4" w:space="0" w:color="FFFFFF"/>
            </w:tcBorders>
          </w:tcPr>
          <w:p w14:paraId="60645289" w14:textId="77777777" w:rsidR="00CB0949" w:rsidRDefault="00000000">
            <w:pPr>
              <w:spacing w:line="400" w:lineRule="atLeast"/>
              <w:jc w:val="center"/>
              <w:rPr>
                <w:sz w:val="18"/>
                <w:szCs w:val="18"/>
              </w:rPr>
            </w:pPr>
            <w:r>
              <w:rPr>
                <w:rFonts w:hint="eastAsia"/>
                <w:sz w:val="18"/>
                <w:szCs w:val="18"/>
              </w:rPr>
              <w:t>极对数</w:t>
            </w:r>
          </w:p>
        </w:tc>
        <w:tc>
          <w:tcPr>
            <w:tcW w:w="947" w:type="dxa"/>
            <w:tcBorders>
              <w:top w:val="single" w:sz="12" w:space="0" w:color="000000"/>
              <w:left w:val="single" w:sz="4" w:space="0" w:color="FFFFFF"/>
              <w:bottom w:val="single" w:sz="6" w:space="0" w:color="000000"/>
              <w:right w:val="single" w:sz="4" w:space="0" w:color="FFFFFF"/>
            </w:tcBorders>
          </w:tcPr>
          <w:p w14:paraId="03BF31D5" w14:textId="77777777" w:rsidR="00CB0949" w:rsidRDefault="00000000">
            <w:pPr>
              <w:spacing w:line="400" w:lineRule="atLeast"/>
              <w:jc w:val="center"/>
              <w:rPr>
                <w:sz w:val="18"/>
                <w:szCs w:val="18"/>
              </w:rPr>
            </w:pPr>
            <w:r>
              <w:rPr>
                <w:rFonts w:hint="eastAsia"/>
                <w:sz w:val="18"/>
                <w:szCs w:val="18"/>
              </w:rPr>
              <w:t>定子外径</w:t>
            </w:r>
            <w:r>
              <w:rPr>
                <w:rFonts w:hint="eastAsia"/>
                <w:sz w:val="18"/>
                <w:szCs w:val="18"/>
              </w:rPr>
              <w:t>/mm</w:t>
            </w:r>
          </w:p>
        </w:tc>
        <w:tc>
          <w:tcPr>
            <w:tcW w:w="947" w:type="dxa"/>
            <w:tcBorders>
              <w:top w:val="single" w:sz="12" w:space="0" w:color="000000"/>
              <w:left w:val="single" w:sz="4" w:space="0" w:color="FFFFFF"/>
              <w:bottom w:val="single" w:sz="6" w:space="0" w:color="000000"/>
              <w:right w:val="single" w:sz="4" w:space="0" w:color="FFFFFF"/>
            </w:tcBorders>
          </w:tcPr>
          <w:p w14:paraId="58E7669C" w14:textId="77777777" w:rsidR="00CB0949" w:rsidRDefault="00000000">
            <w:pPr>
              <w:spacing w:line="400" w:lineRule="atLeast"/>
              <w:jc w:val="center"/>
              <w:rPr>
                <w:sz w:val="18"/>
                <w:szCs w:val="18"/>
              </w:rPr>
            </w:pPr>
            <w:r>
              <w:rPr>
                <w:rFonts w:hint="eastAsia"/>
                <w:sz w:val="18"/>
                <w:szCs w:val="18"/>
              </w:rPr>
              <w:t>定子内径</w:t>
            </w:r>
            <w:r>
              <w:rPr>
                <w:rFonts w:hint="eastAsia"/>
                <w:sz w:val="18"/>
                <w:szCs w:val="18"/>
              </w:rPr>
              <w:t>/mm</w:t>
            </w:r>
          </w:p>
        </w:tc>
        <w:tc>
          <w:tcPr>
            <w:tcW w:w="947" w:type="dxa"/>
            <w:tcBorders>
              <w:top w:val="single" w:sz="12" w:space="0" w:color="000000"/>
              <w:left w:val="single" w:sz="4" w:space="0" w:color="FFFFFF"/>
              <w:bottom w:val="single" w:sz="6" w:space="0" w:color="000000"/>
              <w:right w:val="single" w:sz="4" w:space="0" w:color="FFFFFF"/>
            </w:tcBorders>
          </w:tcPr>
          <w:p w14:paraId="40584B49" w14:textId="77777777" w:rsidR="00CB0949" w:rsidRDefault="00000000">
            <w:pPr>
              <w:spacing w:line="400" w:lineRule="atLeast"/>
              <w:jc w:val="center"/>
              <w:rPr>
                <w:sz w:val="18"/>
                <w:szCs w:val="18"/>
              </w:rPr>
            </w:pPr>
            <w:r>
              <w:rPr>
                <w:rFonts w:hint="eastAsia"/>
                <w:sz w:val="18"/>
                <w:szCs w:val="18"/>
              </w:rPr>
              <w:t>铁心长度</w:t>
            </w:r>
            <w:r>
              <w:rPr>
                <w:rFonts w:hint="eastAsia"/>
                <w:sz w:val="18"/>
                <w:szCs w:val="18"/>
              </w:rPr>
              <w:t>/mm</w:t>
            </w:r>
          </w:p>
        </w:tc>
        <w:tc>
          <w:tcPr>
            <w:tcW w:w="1126" w:type="dxa"/>
            <w:tcBorders>
              <w:top w:val="single" w:sz="12" w:space="0" w:color="000000"/>
              <w:left w:val="single" w:sz="4" w:space="0" w:color="FFFFFF"/>
              <w:bottom w:val="single" w:sz="6" w:space="0" w:color="000000"/>
              <w:right w:val="single" w:sz="12" w:space="0" w:color="FFFFFF"/>
            </w:tcBorders>
          </w:tcPr>
          <w:p w14:paraId="164CF67B" w14:textId="77777777" w:rsidR="00CB0949" w:rsidRDefault="00000000">
            <w:pPr>
              <w:spacing w:line="400" w:lineRule="atLeast"/>
              <w:jc w:val="center"/>
              <w:rPr>
                <w:sz w:val="18"/>
                <w:szCs w:val="18"/>
              </w:rPr>
            </w:pPr>
            <w:r>
              <w:rPr>
                <w:rFonts w:hint="eastAsia"/>
                <w:sz w:val="18"/>
                <w:szCs w:val="18"/>
              </w:rPr>
              <w:t>气隙宽度</w:t>
            </w:r>
            <w:r>
              <w:rPr>
                <w:rFonts w:hint="eastAsia"/>
                <w:sz w:val="18"/>
                <w:szCs w:val="18"/>
              </w:rPr>
              <w:t>/mm</w:t>
            </w:r>
          </w:p>
        </w:tc>
      </w:tr>
      <w:tr w:rsidR="00CB0949" w14:paraId="4DDC9FBC" w14:textId="77777777">
        <w:tc>
          <w:tcPr>
            <w:tcW w:w="946" w:type="dxa"/>
            <w:tcBorders>
              <w:top w:val="single" w:sz="6" w:space="0" w:color="000000"/>
              <w:left w:val="single" w:sz="12" w:space="0" w:color="FFFFFF"/>
              <w:bottom w:val="single" w:sz="12" w:space="0" w:color="000000"/>
              <w:right w:val="single" w:sz="12" w:space="0" w:color="FFFFFF"/>
            </w:tcBorders>
          </w:tcPr>
          <w:p w14:paraId="728D95A9" w14:textId="77777777" w:rsidR="00CB0949" w:rsidRDefault="00000000">
            <w:pPr>
              <w:spacing w:line="400" w:lineRule="atLeast"/>
              <w:jc w:val="center"/>
              <w:rPr>
                <w:sz w:val="18"/>
                <w:szCs w:val="18"/>
              </w:rPr>
            </w:pPr>
            <w:r>
              <w:rPr>
                <w:rFonts w:hint="eastAsia"/>
                <w:sz w:val="18"/>
                <w:szCs w:val="18"/>
              </w:rPr>
              <w:t>1</w:t>
            </w:r>
          </w:p>
        </w:tc>
        <w:tc>
          <w:tcPr>
            <w:tcW w:w="947" w:type="dxa"/>
            <w:tcBorders>
              <w:top w:val="single" w:sz="6" w:space="0" w:color="000000"/>
              <w:left w:val="single" w:sz="12" w:space="0" w:color="FFFFFF"/>
              <w:bottom w:val="single" w:sz="12" w:space="0" w:color="000000"/>
              <w:right w:val="single" w:sz="12" w:space="0" w:color="FFFFFF"/>
            </w:tcBorders>
          </w:tcPr>
          <w:p w14:paraId="3CB3574D" w14:textId="77777777" w:rsidR="00CB0949" w:rsidRDefault="00000000">
            <w:pPr>
              <w:spacing w:line="400" w:lineRule="atLeast"/>
              <w:jc w:val="center"/>
              <w:rPr>
                <w:sz w:val="18"/>
                <w:szCs w:val="18"/>
              </w:rPr>
            </w:pPr>
            <w:r>
              <w:rPr>
                <w:rFonts w:hint="eastAsia"/>
                <w:sz w:val="18"/>
                <w:szCs w:val="18"/>
              </w:rPr>
              <w:t>1500</w:t>
            </w:r>
          </w:p>
        </w:tc>
        <w:tc>
          <w:tcPr>
            <w:tcW w:w="947" w:type="dxa"/>
            <w:tcBorders>
              <w:top w:val="single" w:sz="6" w:space="0" w:color="000000"/>
              <w:left w:val="single" w:sz="12" w:space="0" w:color="FFFFFF"/>
              <w:bottom w:val="single" w:sz="12" w:space="0" w:color="000000"/>
              <w:right w:val="single" w:sz="12" w:space="0" w:color="FFFFFF"/>
            </w:tcBorders>
          </w:tcPr>
          <w:p w14:paraId="4728F5D2" w14:textId="77777777" w:rsidR="00CB0949" w:rsidRDefault="00000000">
            <w:pPr>
              <w:spacing w:line="400" w:lineRule="atLeast"/>
              <w:jc w:val="center"/>
              <w:rPr>
                <w:sz w:val="18"/>
                <w:szCs w:val="18"/>
              </w:rPr>
            </w:pPr>
            <w:r>
              <w:rPr>
                <w:rFonts w:hint="eastAsia"/>
                <w:sz w:val="18"/>
                <w:szCs w:val="18"/>
              </w:rPr>
              <w:t>380</w:t>
            </w:r>
          </w:p>
        </w:tc>
        <w:tc>
          <w:tcPr>
            <w:tcW w:w="947" w:type="dxa"/>
            <w:tcBorders>
              <w:top w:val="single" w:sz="6" w:space="0" w:color="000000"/>
              <w:left w:val="single" w:sz="12" w:space="0" w:color="FFFFFF"/>
              <w:bottom w:val="single" w:sz="12" w:space="0" w:color="000000"/>
              <w:right w:val="single" w:sz="12" w:space="0" w:color="FFFFFF"/>
            </w:tcBorders>
          </w:tcPr>
          <w:p w14:paraId="096B52C2" w14:textId="77777777" w:rsidR="00CB0949" w:rsidRDefault="00000000">
            <w:pPr>
              <w:spacing w:line="400" w:lineRule="atLeast"/>
              <w:jc w:val="center"/>
              <w:rPr>
                <w:sz w:val="18"/>
                <w:szCs w:val="18"/>
              </w:rPr>
            </w:pPr>
            <w:r>
              <w:rPr>
                <w:rFonts w:hint="eastAsia"/>
                <w:sz w:val="18"/>
                <w:szCs w:val="18"/>
              </w:rPr>
              <w:t>12</w:t>
            </w:r>
          </w:p>
        </w:tc>
        <w:tc>
          <w:tcPr>
            <w:tcW w:w="947" w:type="dxa"/>
            <w:tcBorders>
              <w:top w:val="single" w:sz="6" w:space="0" w:color="000000"/>
              <w:left w:val="single" w:sz="12" w:space="0" w:color="FFFFFF"/>
              <w:bottom w:val="single" w:sz="12" w:space="0" w:color="000000"/>
              <w:right w:val="single" w:sz="12" w:space="0" w:color="FFFFFF"/>
            </w:tcBorders>
          </w:tcPr>
          <w:p w14:paraId="75528B4E" w14:textId="77777777" w:rsidR="00CB0949" w:rsidRDefault="00000000">
            <w:pPr>
              <w:spacing w:line="400" w:lineRule="atLeast"/>
              <w:jc w:val="center"/>
              <w:rPr>
                <w:sz w:val="18"/>
                <w:szCs w:val="18"/>
              </w:rPr>
            </w:pPr>
            <w:r>
              <w:rPr>
                <w:rFonts w:hint="eastAsia"/>
                <w:sz w:val="18"/>
                <w:szCs w:val="18"/>
              </w:rPr>
              <w:t>5</w:t>
            </w:r>
          </w:p>
        </w:tc>
        <w:tc>
          <w:tcPr>
            <w:tcW w:w="947" w:type="dxa"/>
            <w:tcBorders>
              <w:top w:val="single" w:sz="6" w:space="0" w:color="000000"/>
              <w:left w:val="single" w:sz="12" w:space="0" w:color="FFFFFF"/>
              <w:bottom w:val="single" w:sz="12" w:space="0" w:color="000000"/>
              <w:right w:val="single" w:sz="12" w:space="0" w:color="FFFFFF"/>
            </w:tcBorders>
          </w:tcPr>
          <w:p w14:paraId="7AB71D54" w14:textId="77777777" w:rsidR="00CB0949" w:rsidRDefault="00000000">
            <w:pPr>
              <w:spacing w:line="400" w:lineRule="atLeast"/>
              <w:ind w:firstLine="204"/>
              <w:jc w:val="center"/>
              <w:rPr>
                <w:sz w:val="18"/>
                <w:szCs w:val="18"/>
              </w:rPr>
            </w:pPr>
            <w:r>
              <w:rPr>
                <w:rFonts w:hint="eastAsia"/>
                <w:sz w:val="18"/>
                <w:szCs w:val="18"/>
              </w:rPr>
              <w:t>139.2</w:t>
            </w:r>
          </w:p>
        </w:tc>
        <w:tc>
          <w:tcPr>
            <w:tcW w:w="947" w:type="dxa"/>
            <w:tcBorders>
              <w:top w:val="single" w:sz="6" w:space="0" w:color="000000"/>
              <w:left w:val="single" w:sz="12" w:space="0" w:color="FFFFFF"/>
              <w:bottom w:val="single" w:sz="12" w:space="0" w:color="000000"/>
              <w:right w:val="single" w:sz="12" w:space="0" w:color="FFFFFF"/>
            </w:tcBorders>
          </w:tcPr>
          <w:p w14:paraId="5DED123B" w14:textId="77777777" w:rsidR="00CB0949" w:rsidRDefault="00000000">
            <w:pPr>
              <w:spacing w:line="400" w:lineRule="atLeast"/>
              <w:jc w:val="center"/>
              <w:rPr>
                <w:sz w:val="18"/>
                <w:szCs w:val="18"/>
              </w:rPr>
            </w:pPr>
            <w:r>
              <w:rPr>
                <w:rFonts w:hint="eastAsia"/>
                <w:sz w:val="18"/>
                <w:szCs w:val="18"/>
              </w:rPr>
              <w:t>79.2</w:t>
            </w:r>
          </w:p>
        </w:tc>
        <w:tc>
          <w:tcPr>
            <w:tcW w:w="947" w:type="dxa"/>
            <w:tcBorders>
              <w:top w:val="single" w:sz="6" w:space="0" w:color="000000"/>
              <w:left w:val="single" w:sz="12" w:space="0" w:color="FFFFFF"/>
              <w:bottom w:val="single" w:sz="12" w:space="0" w:color="000000"/>
              <w:right w:val="single" w:sz="12" w:space="0" w:color="FFFFFF"/>
            </w:tcBorders>
          </w:tcPr>
          <w:p w14:paraId="6AE13EDE" w14:textId="77777777" w:rsidR="00CB0949" w:rsidRDefault="00000000">
            <w:pPr>
              <w:spacing w:line="400" w:lineRule="atLeast"/>
              <w:jc w:val="center"/>
              <w:rPr>
                <w:sz w:val="18"/>
                <w:szCs w:val="18"/>
              </w:rPr>
            </w:pPr>
            <w:r>
              <w:rPr>
                <w:rFonts w:hint="eastAsia"/>
                <w:sz w:val="18"/>
                <w:szCs w:val="18"/>
              </w:rPr>
              <w:t>63.4</w:t>
            </w:r>
          </w:p>
        </w:tc>
        <w:tc>
          <w:tcPr>
            <w:tcW w:w="1126" w:type="dxa"/>
            <w:tcBorders>
              <w:top w:val="single" w:sz="6" w:space="0" w:color="000000"/>
              <w:left w:val="single" w:sz="12" w:space="0" w:color="FFFFFF"/>
              <w:bottom w:val="single" w:sz="12" w:space="0" w:color="000000"/>
              <w:right w:val="single" w:sz="12" w:space="0" w:color="FFFFFF"/>
            </w:tcBorders>
          </w:tcPr>
          <w:p w14:paraId="5E35B7E4" w14:textId="77777777" w:rsidR="00CB0949" w:rsidRDefault="00000000">
            <w:pPr>
              <w:spacing w:line="400" w:lineRule="atLeast"/>
              <w:jc w:val="center"/>
              <w:rPr>
                <w:sz w:val="18"/>
                <w:szCs w:val="18"/>
              </w:rPr>
            </w:pPr>
            <w:r>
              <w:rPr>
                <w:rFonts w:hint="eastAsia"/>
                <w:sz w:val="18"/>
                <w:szCs w:val="18"/>
              </w:rPr>
              <w:t>0.5</w:t>
            </w:r>
          </w:p>
        </w:tc>
      </w:tr>
    </w:tbl>
    <w:p w14:paraId="23E8DD72" w14:textId="77777777" w:rsidR="00CB0949" w:rsidRDefault="00000000">
      <w:pPr>
        <w:spacing w:before="120" w:line="400" w:lineRule="atLeast"/>
        <w:ind w:firstLineChars="200" w:firstLine="480"/>
        <w:rPr>
          <w:sz w:val="24"/>
        </w:rPr>
      </w:pPr>
      <w:r>
        <w:rPr>
          <w:rFonts w:hint="eastAsia"/>
          <w:sz w:val="24"/>
        </w:rPr>
        <w:t>建模过程中，先利用</w:t>
      </w:r>
      <w:proofErr w:type="spellStart"/>
      <w:r>
        <w:rPr>
          <w:rFonts w:hint="eastAsia"/>
          <w:sz w:val="24"/>
        </w:rPr>
        <w:t>RMxprt</w:t>
      </w:r>
      <w:proofErr w:type="spellEnd"/>
      <w:r>
        <w:rPr>
          <w:rFonts w:hint="eastAsia"/>
          <w:sz w:val="24"/>
        </w:rPr>
        <w:t>模块建立</w:t>
      </w:r>
      <w:r>
        <w:rPr>
          <w:rFonts w:hint="eastAsia"/>
          <w:sz w:val="24"/>
        </w:rPr>
        <w:t>IPMSM</w:t>
      </w:r>
      <w:r>
        <w:rPr>
          <w:rFonts w:hint="eastAsia"/>
          <w:sz w:val="24"/>
        </w:rPr>
        <w:t>的参数化模型，之后再利用自动生成功能生成</w:t>
      </w:r>
      <w:r>
        <w:rPr>
          <w:rFonts w:hint="eastAsia"/>
          <w:sz w:val="24"/>
        </w:rPr>
        <w:t>2D</w:t>
      </w:r>
      <w:r>
        <w:rPr>
          <w:rFonts w:hint="eastAsia"/>
          <w:sz w:val="24"/>
        </w:rPr>
        <w:t>有限元模型。</w:t>
      </w:r>
      <w:proofErr w:type="spellStart"/>
      <w:r>
        <w:rPr>
          <w:rFonts w:hint="eastAsia"/>
          <w:sz w:val="24"/>
        </w:rPr>
        <w:t>RMxprt</w:t>
      </w:r>
      <w:proofErr w:type="spellEnd"/>
      <w:r>
        <w:rPr>
          <w:rFonts w:hint="eastAsia"/>
          <w:sz w:val="24"/>
        </w:rPr>
        <w:t>模块建立的</w:t>
      </w:r>
      <w:r>
        <w:rPr>
          <w:rFonts w:hint="eastAsia"/>
          <w:sz w:val="24"/>
        </w:rPr>
        <w:t>IPMSM</w:t>
      </w:r>
      <w:r>
        <w:rPr>
          <w:rFonts w:hint="eastAsia"/>
          <w:sz w:val="24"/>
        </w:rPr>
        <w:t>参数化模型如图</w:t>
      </w:r>
      <w:r>
        <w:rPr>
          <w:rFonts w:hint="eastAsia"/>
          <w:sz w:val="24"/>
        </w:rPr>
        <w:t>5</w:t>
      </w:r>
      <w:r>
        <w:rPr>
          <w:rFonts w:hint="eastAsia"/>
          <w:sz w:val="24"/>
        </w:rPr>
        <w:t>左所示。在自动生成的</w:t>
      </w:r>
      <w:r>
        <w:rPr>
          <w:rFonts w:hint="eastAsia"/>
          <w:sz w:val="24"/>
        </w:rPr>
        <w:t>2D</w:t>
      </w:r>
      <w:r>
        <w:rPr>
          <w:rFonts w:hint="eastAsia"/>
          <w:sz w:val="24"/>
        </w:rPr>
        <w:t>有限元模型中，无需自行网格剖分，只需按照程序默认的网格剖分即可。基于</w:t>
      </w:r>
      <w:r>
        <w:rPr>
          <w:rFonts w:hint="eastAsia"/>
          <w:sz w:val="24"/>
        </w:rPr>
        <w:t>ANSYS Maxwell</w:t>
      </w:r>
      <w:r>
        <w:rPr>
          <w:rFonts w:hint="eastAsia"/>
          <w:sz w:val="24"/>
        </w:rPr>
        <w:t>建立的</w:t>
      </w:r>
      <w:r>
        <w:rPr>
          <w:rFonts w:hint="eastAsia"/>
          <w:sz w:val="24"/>
        </w:rPr>
        <w:t>2D</w:t>
      </w:r>
      <w:r>
        <w:rPr>
          <w:rFonts w:hint="eastAsia"/>
          <w:sz w:val="24"/>
        </w:rPr>
        <w:t>有限元模型如</w:t>
      </w:r>
      <w:r>
        <w:rPr>
          <w:rFonts w:hint="eastAsia"/>
          <w:color w:val="000000" w:themeColor="text1"/>
          <w:sz w:val="24"/>
        </w:rPr>
        <w:t>图</w:t>
      </w:r>
      <w:r>
        <w:rPr>
          <w:rFonts w:hint="eastAsia"/>
          <w:color w:val="000000" w:themeColor="text1"/>
          <w:sz w:val="24"/>
        </w:rPr>
        <w:t>5</w:t>
      </w:r>
      <w:r>
        <w:rPr>
          <w:rFonts w:hint="eastAsia"/>
          <w:color w:val="000000" w:themeColor="text1"/>
          <w:sz w:val="24"/>
        </w:rPr>
        <w:t>右</w:t>
      </w:r>
      <w:r>
        <w:rPr>
          <w:rFonts w:hint="eastAsia"/>
          <w:sz w:val="24"/>
        </w:rPr>
        <w:t>所示。</w:t>
      </w:r>
    </w:p>
    <w:p w14:paraId="37841257" w14:textId="77777777" w:rsidR="00CB0949" w:rsidRDefault="00000000">
      <w:pPr>
        <w:spacing w:before="120" w:after="120" w:line="440" w:lineRule="atLeast"/>
        <w:ind w:firstLineChars="200" w:firstLine="480"/>
        <w:jc w:val="center"/>
        <w:rPr>
          <w:rFonts w:cs="Times New Roman"/>
          <w:color w:val="FF0000"/>
          <w:sz w:val="24"/>
        </w:rPr>
      </w:pPr>
      <w:r>
        <w:rPr>
          <w:rFonts w:cs="Times New Roman" w:hint="eastAsia"/>
          <w:noProof/>
          <w:color w:val="FF0000"/>
          <w:sz w:val="24"/>
        </w:rPr>
        <w:drawing>
          <wp:inline distT="0" distB="0" distL="114300" distR="114300" wp14:anchorId="01EEDCDA" wp14:editId="439B5A7B">
            <wp:extent cx="1435100" cy="1407160"/>
            <wp:effectExtent l="0" t="0" r="12700" b="10160"/>
            <wp:docPr id="27" name="图片 27" descr="O1JHP6XLIFAP3`JRFV~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O1JHP6XLIFAP3`JRFV~5[{Q"/>
                    <pic:cNvPicPr>
                      <a:picLocks noChangeAspect="1"/>
                    </pic:cNvPicPr>
                  </pic:nvPicPr>
                  <pic:blipFill>
                    <a:blip r:embed="rId12"/>
                    <a:stretch>
                      <a:fillRect/>
                    </a:stretch>
                  </pic:blipFill>
                  <pic:spPr>
                    <a:xfrm>
                      <a:off x="0" y="0"/>
                      <a:ext cx="1435100" cy="1407160"/>
                    </a:xfrm>
                    <a:prstGeom prst="rect">
                      <a:avLst/>
                    </a:prstGeom>
                  </pic:spPr>
                </pic:pic>
              </a:graphicData>
            </a:graphic>
          </wp:inline>
        </w:drawing>
      </w:r>
      <w:r>
        <w:rPr>
          <w:rFonts w:cs="Times New Roman" w:hint="eastAsia"/>
          <w:noProof/>
          <w:color w:val="FF0000"/>
          <w:sz w:val="24"/>
        </w:rPr>
        <w:drawing>
          <wp:inline distT="0" distB="0" distL="114300" distR="114300" wp14:anchorId="39EAFEDF" wp14:editId="074087DB">
            <wp:extent cx="2004695" cy="1393190"/>
            <wp:effectExtent l="0" t="0" r="6985" b="8890"/>
            <wp:docPr id="2" name="图片 2" descr="2D模型（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D模型（原）"/>
                    <pic:cNvPicPr>
                      <a:picLocks noChangeAspect="1"/>
                    </pic:cNvPicPr>
                  </pic:nvPicPr>
                  <pic:blipFill>
                    <a:blip r:embed="rId13"/>
                    <a:stretch>
                      <a:fillRect/>
                    </a:stretch>
                  </pic:blipFill>
                  <pic:spPr>
                    <a:xfrm>
                      <a:off x="0" y="0"/>
                      <a:ext cx="2004695" cy="1393190"/>
                    </a:xfrm>
                    <a:prstGeom prst="rect">
                      <a:avLst/>
                    </a:prstGeom>
                  </pic:spPr>
                </pic:pic>
              </a:graphicData>
            </a:graphic>
          </wp:inline>
        </w:drawing>
      </w:r>
    </w:p>
    <w:p w14:paraId="60C068B9" w14:textId="77777777" w:rsidR="00CB0949" w:rsidRDefault="00000000">
      <w:pPr>
        <w:spacing w:before="120" w:after="120" w:line="440" w:lineRule="atLeast"/>
        <w:ind w:firstLineChars="200" w:firstLine="420"/>
        <w:jc w:val="center"/>
        <w:rPr>
          <w:rFonts w:cs="Times New Roman"/>
          <w:color w:val="000000" w:themeColor="text1"/>
          <w:szCs w:val="21"/>
        </w:rPr>
      </w:pPr>
      <w:r>
        <w:rPr>
          <w:rFonts w:cs="Times New Roman" w:hint="eastAsia"/>
          <w:color w:val="000000" w:themeColor="text1"/>
          <w:szCs w:val="21"/>
        </w:rPr>
        <w:t>图</w:t>
      </w:r>
      <w:r>
        <w:rPr>
          <w:rFonts w:cs="Times New Roman" w:hint="eastAsia"/>
          <w:color w:val="000000" w:themeColor="text1"/>
          <w:szCs w:val="21"/>
        </w:rPr>
        <w:t xml:space="preserve">5  </w:t>
      </w:r>
      <w:r>
        <w:rPr>
          <w:rFonts w:cs="Times New Roman" w:hint="eastAsia"/>
          <w:color w:val="000000" w:themeColor="text1"/>
          <w:szCs w:val="21"/>
        </w:rPr>
        <w:t>基于</w:t>
      </w:r>
      <w:r>
        <w:rPr>
          <w:rFonts w:cs="Times New Roman" w:hint="eastAsia"/>
          <w:color w:val="000000" w:themeColor="text1"/>
          <w:szCs w:val="21"/>
        </w:rPr>
        <w:t>Maxwell</w:t>
      </w:r>
      <w:r>
        <w:rPr>
          <w:rFonts w:cs="Times New Roman" w:hint="eastAsia"/>
          <w:color w:val="000000" w:themeColor="text1"/>
          <w:szCs w:val="21"/>
        </w:rPr>
        <w:t>建立的永磁同步电机模型</w:t>
      </w:r>
    </w:p>
    <w:p w14:paraId="507E683C" w14:textId="77777777" w:rsidR="00CB0949" w:rsidRDefault="00000000">
      <w:pPr>
        <w:spacing w:before="120" w:after="120" w:line="440" w:lineRule="atLeast"/>
        <w:ind w:firstLineChars="200" w:firstLine="480"/>
        <w:rPr>
          <w:sz w:val="24"/>
        </w:rPr>
      </w:pPr>
      <w:r>
        <w:rPr>
          <w:rFonts w:hint="eastAsia"/>
          <w:sz w:val="24"/>
        </w:rPr>
        <w:t>在</w:t>
      </w:r>
      <w:r>
        <w:rPr>
          <w:rFonts w:hint="eastAsia"/>
          <w:sz w:val="24"/>
        </w:rPr>
        <w:t xml:space="preserve">ANSYS </w:t>
      </w:r>
      <w:proofErr w:type="spellStart"/>
      <w:r>
        <w:rPr>
          <w:rFonts w:hint="eastAsia"/>
          <w:sz w:val="24"/>
        </w:rPr>
        <w:t>Simplorer</w:t>
      </w:r>
      <w:proofErr w:type="spellEnd"/>
      <w:r>
        <w:rPr>
          <w:rFonts w:hint="eastAsia"/>
          <w:sz w:val="24"/>
        </w:rPr>
        <w:t>中</w:t>
      </w:r>
      <w:proofErr w:type="gramStart"/>
      <w:r>
        <w:rPr>
          <w:rFonts w:hint="eastAsia"/>
          <w:sz w:val="24"/>
        </w:rPr>
        <w:t>建立场</w:t>
      </w:r>
      <w:proofErr w:type="gramEnd"/>
      <w:r>
        <w:rPr>
          <w:rFonts w:hint="eastAsia"/>
          <w:sz w:val="24"/>
        </w:rPr>
        <w:t>路耦合下的联合仿真模型，该模型由</w:t>
      </w:r>
      <w:r>
        <w:rPr>
          <w:rFonts w:hint="eastAsia"/>
          <w:sz w:val="24"/>
        </w:rPr>
        <w:t>ANSYS Maxwell</w:t>
      </w:r>
      <w:r>
        <w:rPr>
          <w:rFonts w:hint="eastAsia"/>
          <w:sz w:val="24"/>
        </w:rPr>
        <w:t>中建立的永磁同步电机</w:t>
      </w:r>
      <w:r>
        <w:rPr>
          <w:rFonts w:hint="eastAsia"/>
          <w:sz w:val="24"/>
        </w:rPr>
        <w:t>2D</w:t>
      </w:r>
      <w:r>
        <w:rPr>
          <w:rFonts w:hint="eastAsia"/>
          <w:sz w:val="24"/>
        </w:rPr>
        <w:t>有限元模型、</w:t>
      </w:r>
      <w:proofErr w:type="spellStart"/>
      <w:r>
        <w:rPr>
          <w:rFonts w:hint="eastAsia"/>
          <w:sz w:val="24"/>
        </w:rPr>
        <w:t>Simplorer</w:t>
      </w:r>
      <w:proofErr w:type="spellEnd"/>
      <w:r>
        <w:rPr>
          <w:rFonts w:hint="eastAsia"/>
          <w:sz w:val="24"/>
        </w:rPr>
        <w:t>中建立的外电路模型和</w:t>
      </w:r>
      <w:proofErr w:type="spellStart"/>
      <w:r>
        <w:rPr>
          <w:rFonts w:hint="eastAsia"/>
          <w:sz w:val="24"/>
        </w:rPr>
        <w:t>Matlab</w:t>
      </w:r>
      <w:proofErr w:type="spellEnd"/>
      <w:r>
        <w:rPr>
          <w:rFonts w:hint="eastAsia"/>
          <w:sz w:val="24"/>
        </w:rPr>
        <w:t>/Simulink</w:t>
      </w:r>
      <w:r>
        <w:rPr>
          <w:rFonts w:hint="eastAsia"/>
          <w:sz w:val="24"/>
        </w:rPr>
        <w:t>中建立的基于定子电流的</w:t>
      </w:r>
      <w:r>
        <w:rPr>
          <w:rFonts w:hint="eastAsia"/>
          <w:sz w:val="24"/>
        </w:rPr>
        <w:t>MTPA</w:t>
      </w:r>
      <w:r>
        <w:rPr>
          <w:rFonts w:hint="eastAsia"/>
          <w:sz w:val="24"/>
        </w:rPr>
        <w:t>控制模块构成。其中，</w:t>
      </w:r>
      <w:proofErr w:type="spellStart"/>
      <w:r>
        <w:rPr>
          <w:rFonts w:hint="eastAsia"/>
          <w:sz w:val="24"/>
        </w:rPr>
        <w:t>Simporer</w:t>
      </w:r>
      <w:proofErr w:type="spellEnd"/>
      <w:r>
        <w:rPr>
          <w:rFonts w:hint="eastAsia"/>
          <w:sz w:val="24"/>
        </w:rPr>
        <w:t>为中间媒介，起到外电路模型的搭建以及为另外两个软件平台提供耦合接口的作用。场路耦合联合仿真模型由</w:t>
      </w:r>
      <w:r>
        <w:rPr>
          <w:rFonts w:hint="eastAsia"/>
          <w:sz w:val="24"/>
        </w:rPr>
        <w:t>IPMSM</w:t>
      </w:r>
      <w:r>
        <w:rPr>
          <w:rFonts w:hint="eastAsia"/>
          <w:sz w:val="24"/>
        </w:rPr>
        <w:t>的</w:t>
      </w:r>
      <w:r>
        <w:rPr>
          <w:rFonts w:hint="eastAsia"/>
          <w:sz w:val="24"/>
        </w:rPr>
        <w:t>2D</w:t>
      </w:r>
      <w:r>
        <w:rPr>
          <w:rFonts w:hint="eastAsia"/>
          <w:sz w:val="24"/>
        </w:rPr>
        <w:t>电磁场有限元模型、外电路模型和控制模块构成。外电路模型又由</w:t>
      </w:r>
      <w:r>
        <w:rPr>
          <w:rFonts w:hint="eastAsia"/>
          <w:sz w:val="24"/>
        </w:rPr>
        <w:t>IGBT</w:t>
      </w:r>
      <w:r>
        <w:rPr>
          <w:rFonts w:hint="eastAsia"/>
          <w:sz w:val="24"/>
        </w:rPr>
        <w:t>和电力二极管组成的两电平三相逆变器、机械测量元件和直流电源构成。直流电源电压为</w:t>
      </w:r>
      <w:r>
        <w:rPr>
          <w:rFonts w:hint="eastAsia"/>
          <w:sz w:val="24"/>
        </w:rPr>
        <w:t>380V</w:t>
      </w:r>
      <w:r>
        <w:rPr>
          <w:rFonts w:hint="eastAsia"/>
          <w:sz w:val="24"/>
        </w:rPr>
        <w:t>，作为逆变器的直流母线电压；逆变器</w:t>
      </w:r>
      <w:proofErr w:type="gramStart"/>
      <w:r>
        <w:rPr>
          <w:rFonts w:hint="eastAsia"/>
          <w:sz w:val="24"/>
        </w:rPr>
        <w:t>各个桥臂的</w:t>
      </w:r>
      <w:proofErr w:type="gramEnd"/>
      <w:r>
        <w:rPr>
          <w:rFonts w:hint="eastAsia"/>
          <w:sz w:val="24"/>
        </w:rPr>
        <w:t>IGBT</w:t>
      </w:r>
      <w:r>
        <w:rPr>
          <w:rFonts w:hint="eastAsia"/>
          <w:sz w:val="24"/>
        </w:rPr>
        <w:t>管信号由</w:t>
      </w:r>
      <w:r>
        <w:rPr>
          <w:rFonts w:hint="eastAsia"/>
          <w:sz w:val="24"/>
        </w:rPr>
        <w:t>Simulink</w:t>
      </w:r>
      <w:r>
        <w:rPr>
          <w:rFonts w:hint="eastAsia"/>
          <w:sz w:val="24"/>
        </w:rPr>
        <w:t>中搭建的控制模块产生并通过</w:t>
      </w:r>
      <w:proofErr w:type="spellStart"/>
      <w:r>
        <w:rPr>
          <w:rFonts w:hint="eastAsia"/>
          <w:sz w:val="24"/>
        </w:rPr>
        <w:t>Simplorer</w:t>
      </w:r>
      <w:proofErr w:type="spellEnd"/>
      <w:r>
        <w:rPr>
          <w:rFonts w:hint="eastAsia"/>
          <w:sz w:val="24"/>
        </w:rPr>
        <w:t>提供的</w:t>
      </w:r>
      <w:r>
        <w:rPr>
          <w:rFonts w:hint="eastAsia"/>
          <w:sz w:val="24"/>
        </w:rPr>
        <w:t>Simulink</w:t>
      </w:r>
      <w:r>
        <w:rPr>
          <w:rFonts w:hint="eastAsia"/>
          <w:sz w:val="24"/>
        </w:rPr>
        <w:t>耦合接口提供。在整个调速系统工作时，外</w:t>
      </w:r>
      <w:r>
        <w:rPr>
          <w:rFonts w:hint="eastAsia"/>
          <w:sz w:val="24"/>
        </w:rPr>
        <w:lastRenderedPageBreak/>
        <w:t>电路模型中的机械参数测量元件和电流表将</w:t>
      </w:r>
      <w:r>
        <w:rPr>
          <w:rFonts w:hint="eastAsia"/>
          <w:sz w:val="24"/>
        </w:rPr>
        <w:t>2D</w:t>
      </w:r>
      <w:r>
        <w:rPr>
          <w:rFonts w:hint="eastAsia"/>
          <w:sz w:val="24"/>
        </w:rPr>
        <w:t>有限元模型的机械参数和三相定子绕组电流反馈给</w:t>
      </w:r>
      <w:r>
        <w:rPr>
          <w:rFonts w:hint="eastAsia"/>
          <w:sz w:val="24"/>
        </w:rPr>
        <w:t>Simulink</w:t>
      </w:r>
      <w:r>
        <w:rPr>
          <w:rFonts w:hint="eastAsia"/>
          <w:sz w:val="24"/>
        </w:rPr>
        <w:t>控制模块，控制模块根据</w:t>
      </w:r>
      <w:proofErr w:type="spellStart"/>
      <w:r>
        <w:rPr>
          <w:rFonts w:hint="eastAsia"/>
          <w:sz w:val="24"/>
        </w:rPr>
        <w:t>Simplorer</w:t>
      </w:r>
      <w:proofErr w:type="spellEnd"/>
      <w:r>
        <w:rPr>
          <w:rFonts w:hint="eastAsia"/>
          <w:sz w:val="24"/>
        </w:rPr>
        <w:t>中传输过去的机械参数和定子绕组相电流提供开关管的控制信号并通过耦合接口传输给外电路逆变器的</w:t>
      </w:r>
      <w:proofErr w:type="gramStart"/>
      <w:r>
        <w:rPr>
          <w:rFonts w:hint="eastAsia"/>
          <w:sz w:val="24"/>
        </w:rPr>
        <w:t>各个桥臂开关</w:t>
      </w:r>
      <w:proofErr w:type="gramEnd"/>
      <w:r>
        <w:rPr>
          <w:rFonts w:hint="eastAsia"/>
          <w:sz w:val="24"/>
        </w:rPr>
        <w:t>，以控制</w:t>
      </w:r>
      <w:r>
        <w:rPr>
          <w:rFonts w:hint="eastAsia"/>
          <w:sz w:val="24"/>
        </w:rPr>
        <w:t>IPMSM</w:t>
      </w:r>
      <w:r>
        <w:rPr>
          <w:rFonts w:hint="eastAsia"/>
          <w:sz w:val="24"/>
        </w:rPr>
        <w:t>的运行，形成闭环控制系统。</w:t>
      </w:r>
    </w:p>
    <w:p w14:paraId="1C719646" w14:textId="77777777" w:rsidR="00CB0949" w:rsidRDefault="00000000">
      <w:pPr>
        <w:spacing w:before="120" w:after="120" w:line="440" w:lineRule="atLeast"/>
        <w:jc w:val="center"/>
        <w:rPr>
          <w:color w:val="FF0000"/>
          <w:sz w:val="24"/>
        </w:rPr>
      </w:pPr>
      <w:r>
        <w:rPr>
          <w:rFonts w:hint="eastAsia"/>
          <w:noProof/>
          <w:color w:val="FF0000"/>
          <w:sz w:val="24"/>
        </w:rPr>
        <w:drawing>
          <wp:inline distT="0" distB="0" distL="114300" distR="114300" wp14:anchorId="51A8A40A" wp14:editId="4DA9F869">
            <wp:extent cx="4410710" cy="2414905"/>
            <wp:effectExtent l="0" t="0" r="8890" b="8255"/>
            <wp:docPr id="8" name="图片 8" descr="场路耦合模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场路耦合模型_00"/>
                    <pic:cNvPicPr>
                      <a:picLocks noChangeAspect="1"/>
                    </pic:cNvPicPr>
                  </pic:nvPicPr>
                  <pic:blipFill>
                    <a:blip r:embed="rId14"/>
                    <a:srcRect l="6041" t="8045" r="7213" b="13250"/>
                    <a:stretch>
                      <a:fillRect/>
                    </a:stretch>
                  </pic:blipFill>
                  <pic:spPr>
                    <a:xfrm>
                      <a:off x="0" y="0"/>
                      <a:ext cx="4410710" cy="2414905"/>
                    </a:xfrm>
                    <a:prstGeom prst="rect">
                      <a:avLst/>
                    </a:prstGeom>
                  </pic:spPr>
                </pic:pic>
              </a:graphicData>
            </a:graphic>
          </wp:inline>
        </w:drawing>
      </w:r>
    </w:p>
    <w:p w14:paraId="4C9EB20D" w14:textId="77777777" w:rsidR="00CB0949" w:rsidRDefault="00000000">
      <w:pPr>
        <w:spacing w:before="120" w:after="120" w:line="440" w:lineRule="atLeast"/>
        <w:jc w:val="center"/>
        <w:rPr>
          <w:color w:val="000000" w:themeColor="text1"/>
          <w:szCs w:val="21"/>
        </w:rPr>
      </w:pPr>
      <w:r>
        <w:rPr>
          <w:rFonts w:hint="eastAsia"/>
          <w:color w:val="000000" w:themeColor="text1"/>
          <w:szCs w:val="21"/>
        </w:rPr>
        <w:t>图</w:t>
      </w:r>
      <w:r>
        <w:rPr>
          <w:rFonts w:hint="eastAsia"/>
          <w:color w:val="000000" w:themeColor="text1"/>
          <w:szCs w:val="21"/>
        </w:rPr>
        <w:t xml:space="preserve">6  </w:t>
      </w:r>
      <w:r>
        <w:rPr>
          <w:rFonts w:hint="eastAsia"/>
          <w:color w:val="000000" w:themeColor="text1"/>
          <w:szCs w:val="21"/>
        </w:rPr>
        <w:t>基于</w:t>
      </w:r>
      <w:proofErr w:type="spellStart"/>
      <w:r>
        <w:rPr>
          <w:rFonts w:hint="eastAsia"/>
          <w:color w:val="000000" w:themeColor="text1"/>
          <w:szCs w:val="21"/>
        </w:rPr>
        <w:t>Simplorer</w:t>
      </w:r>
      <w:proofErr w:type="spellEnd"/>
      <w:r>
        <w:rPr>
          <w:rFonts w:hint="eastAsia"/>
          <w:color w:val="000000" w:themeColor="text1"/>
          <w:szCs w:val="21"/>
        </w:rPr>
        <w:t>建立的协同仿真模型</w:t>
      </w:r>
    </w:p>
    <w:p w14:paraId="7F218685" w14:textId="77777777" w:rsidR="00CB0949" w:rsidRDefault="00000000">
      <w:pPr>
        <w:spacing w:line="400" w:lineRule="atLeast"/>
        <w:ind w:firstLineChars="200" w:firstLine="480"/>
        <w:rPr>
          <w:color w:val="000000" w:themeColor="text1"/>
          <w:sz w:val="24"/>
        </w:rPr>
      </w:pPr>
      <w:r>
        <w:rPr>
          <w:rFonts w:hint="eastAsia"/>
          <w:sz w:val="24"/>
        </w:rPr>
        <w:t>分别搭建了场路耦合联合仿真和</w:t>
      </w:r>
      <w:r>
        <w:rPr>
          <w:rFonts w:hint="eastAsia"/>
          <w:sz w:val="24"/>
        </w:rPr>
        <w:t>Simulink</w:t>
      </w:r>
      <w:r>
        <w:rPr>
          <w:rFonts w:hint="eastAsia"/>
          <w:sz w:val="24"/>
        </w:rPr>
        <w:t>单一平台两种模型，并对两种模型分别进行了联合仿真分析。设置</w:t>
      </w:r>
      <w:r>
        <w:rPr>
          <w:rFonts w:hint="eastAsia"/>
          <w:sz w:val="24"/>
        </w:rPr>
        <w:t>1000rpm</w:t>
      </w:r>
      <w:r>
        <w:rPr>
          <w:rFonts w:hint="eastAsia"/>
          <w:sz w:val="24"/>
        </w:rPr>
        <w:t>的转速档，选择基于定子电流的</w:t>
      </w:r>
      <w:r>
        <w:rPr>
          <w:rFonts w:hint="eastAsia"/>
          <w:sz w:val="24"/>
        </w:rPr>
        <w:t>MTPA</w:t>
      </w:r>
      <w:r>
        <w:rPr>
          <w:rFonts w:hint="eastAsia"/>
          <w:sz w:val="24"/>
        </w:rPr>
        <w:t>控制策略作为主要的控制策略，分别在仅通过传统</w:t>
      </w:r>
      <w:proofErr w:type="spellStart"/>
      <w:r>
        <w:rPr>
          <w:rFonts w:hint="eastAsia"/>
          <w:sz w:val="24"/>
        </w:rPr>
        <w:t>Matlab</w:t>
      </w:r>
      <w:proofErr w:type="spellEnd"/>
      <w:r>
        <w:rPr>
          <w:rFonts w:hint="eastAsia"/>
          <w:sz w:val="24"/>
        </w:rPr>
        <w:t>/Simulink</w:t>
      </w:r>
      <w:r>
        <w:rPr>
          <w:rFonts w:hint="eastAsia"/>
          <w:sz w:val="24"/>
        </w:rPr>
        <w:t>单一平台下和三</w:t>
      </w:r>
      <w:proofErr w:type="gramStart"/>
      <w:r>
        <w:rPr>
          <w:rFonts w:hint="eastAsia"/>
          <w:sz w:val="24"/>
        </w:rPr>
        <w:t>平台场</w:t>
      </w:r>
      <w:proofErr w:type="gramEnd"/>
      <w:r>
        <w:rPr>
          <w:rFonts w:hint="eastAsia"/>
          <w:sz w:val="24"/>
        </w:rPr>
        <w:t>路耦合联合仿真实现</w:t>
      </w:r>
      <w:r>
        <w:rPr>
          <w:rFonts w:hint="eastAsia"/>
          <w:sz w:val="24"/>
        </w:rPr>
        <w:t>1000rpm</w:t>
      </w:r>
      <w:r>
        <w:rPr>
          <w:rFonts w:hint="eastAsia"/>
          <w:sz w:val="24"/>
        </w:rPr>
        <w:t>的转速档的仿真实验。实验中，保持其他设置一致：每次实验中</w:t>
      </w:r>
      <w:r>
        <w:rPr>
          <w:rFonts w:hint="eastAsia"/>
          <w:sz w:val="24"/>
        </w:rPr>
        <w:t>Simulink</w:t>
      </w:r>
      <w:r>
        <w:rPr>
          <w:rFonts w:hint="eastAsia"/>
          <w:sz w:val="24"/>
        </w:rPr>
        <w:t>和</w:t>
      </w:r>
      <w:proofErr w:type="spellStart"/>
      <w:r>
        <w:rPr>
          <w:rFonts w:hint="eastAsia"/>
          <w:sz w:val="24"/>
        </w:rPr>
        <w:t>Simplorer</w:t>
      </w:r>
      <w:proofErr w:type="spellEnd"/>
      <w:r>
        <w:rPr>
          <w:rFonts w:hint="eastAsia"/>
          <w:sz w:val="24"/>
        </w:rPr>
        <w:t>的仿真时间均设定为</w:t>
      </w:r>
      <w:r>
        <w:rPr>
          <w:rFonts w:hint="eastAsia"/>
          <w:sz w:val="24"/>
        </w:rPr>
        <w:t>0.5s</w:t>
      </w:r>
      <w:r>
        <w:rPr>
          <w:rFonts w:hint="eastAsia"/>
          <w:sz w:val="24"/>
        </w:rPr>
        <w:t>；</w:t>
      </w:r>
      <w:r>
        <w:rPr>
          <w:rFonts w:hint="eastAsia"/>
          <w:sz w:val="24"/>
        </w:rPr>
        <w:t>Simulink</w:t>
      </w:r>
      <w:r>
        <w:rPr>
          <w:rFonts w:hint="eastAsia"/>
          <w:sz w:val="24"/>
        </w:rPr>
        <w:t>中算法选择</w:t>
      </w:r>
      <w:r>
        <w:rPr>
          <w:rFonts w:hint="eastAsia"/>
          <w:sz w:val="24"/>
        </w:rPr>
        <w:t>ode23s</w:t>
      </w:r>
      <w:r>
        <w:rPr>
          <w:rFonts w:hint="eastAsia"/>
          <w:sz w:val="24"/>
        </w:rPr>
        <w:t>变步长算法，</w:t>
      </w:r>
      <w:r>
        <w:rPr>
          <w:rFonts w:hint="eastAsia"/>
          <w:sz w:val="24"/>
        </w:rPr>
        <w:t>SVPWM</w:t>
      </w:r>
      <w:r>
        <w:rPr>
          <w:rFonts w:hint="eastAsia"/>
          <w:sz w:val="24"/>
        </w:rPr>
        <w:t>模块输出的六路</w:t>
      </w:r>
      <w:r>
        <w:rPr>
          <w:rFonts w:hint="eastAsia"/>
          <w:sz w:val="24"/>
        </w:rPr>
        <w:t>PWM</w:t>
      </w:r>
      <w:r>
        <w:rPr>
          <w:rFonts w:hint="eastAsia"/>
          <w:sz w:val="24"/>
        </w:rPr>
        <w:t>控制信号频率设置为</w:t>
      </w:r>
      <w:r>
        <w:rPr>
          <w:rFonts w:hint="eastAsia"/>
          <w:sz w:val="24"/>
        </w:rPr>
        <w:t>8000Hz</w:t>
      </w:r>
      <w:r>
        <w:rPr>
          <w:rFonts w:hint="eastAsia"/>
          <w:sz w:val="24"/>
        </w:rPr>
        <w:t>。在仿真步长的设定阶段将</w:t>
      </w:r>
      <w:proofErr w:type="spellStart"/>
      <w:r>
        <w:rPr>
          <w:rFonts w:hint="eastAsia"/>
          <w:sz w:val="24"/>
        </w:rPr>
        <w:t>Simplorer</w:t>
      </w:r>
      <w:proofErr w:type="spellEnd"/>
      <w:r>
        <w:rPr>
          <w:rFonts w:hint="eastAsia"/>
          <w:sz w:val="24"/>
        </w:rPr>
        <w:t>中的最大步长设置为</w:t>
      </w:r>
      <w:r>
        <w:rPr>
          <w:rFonts w:hint="eastAsia"/>
          <w:sz w:val="24"/>
        </w:rPr>
        <w:t>100</w:t>
      </w:r>
      <w:r>
        <w:rPr>
          <w:rFonts w:eastAsia="微软雅黑" w:cs="Times New Roman"/>
          <w:sz w:val="24"/>
        </w:rPr>
        <w:t>μ</w:t>
      </w:r>
      <w:r>
        <w:rPr>
          <w:rFonts w:hint="eastAsia"/>
          <w:sz w:val="24"/>
        </w:rPr>
        <w:t>s</w:t>
      </w:r>
      <w:r>
        <w:rPr>
          <w:rFonts w:hint="eastAsia"/>
          <w:sz w:val="24"/>
        </w:rPr>
        <w:t>，最小步长设定为</w:t>
      </w:r>
      <w:r>
        <w:rPr>
          <w:rFonts w:hint="eastAsia"/>
          <w:sz w:val="24"/>
        </w:rPr>
        <w:t>20</w:t>
      </w:r>
      <w:r>
        <w:rPr>
          <w:rFonts w:eastAsia="微软雅黑" w:cs="Times New Roman"/>
          <w:sz w:val="24"/>
        </w:rPr>
        <w:t>μ</w:t>
      </w:r>
      <w:r>
        <w:rPr>
          <w:rFonts w:hint="eastAsia"/>
          <w:sz w:val="24"/>
        </w:rPr>
        <w:t>s</w:t>
      </w:r>
      <w:r>
        <w:rPr>
          <w:rFonts w:hint="eastAsia"/>
          <w:sz w:val="24"/>
        </w:rPr>
        <w:t>，这样</w:t>
      </w:r>
      <w:proofErr w:type="gramStart"/>
      <w:r>
        <w:rPr>
          <w:rFonts w:hint="eastAsia"/>
          <w:sz w:val="24"/>
        </w:rPr>
        <w:t>设定既</w:t>
      </w:r>
      <w:proofErr w:type="gramEnd"/>
      <w:r>
        <w:rPr>
          <w:rFonts w:hint="eastAsia"/>
          <w:sz w:val="24"/>
        </w:rPr>
        <w:t>保证了传输效果，同时兼顾了仿真的速度不至于太慢。联合仿真的永磁同步电机以空载状态启动，在仿真时间为</w:t>
      </w:r>
      <w:r>
        <w:rPr>
          <w:rFonts w:hint="eastAsia"/>
          <w:sz w:val="24"/>
        </w:rPr>
        <w:t>0.13s</w:t>
      </w:r>
      <w:r>
        <w:rPr>
          <w:rFonts w:hint="eastAsia"/>
          <w:sz w:val="24"/>
        </w:rPr>
        <w:t>时接入</w:t>
      </w:r>
      <w:r>
        <w:rPr>
          <w:rFonts w:hint="eastAsia"/>
          <w:sz w:val="24"/>
        </w:rPr>
        <w:t>8Nm</w:t>
      </w:r>
      <w:r>
        <w:rPr>
          <w:rFonts w:hint="eastAsia"/>
          <w:sz w:val="24"/>
        </w:rPr>
        <w:t>的负载转矩。联合仿真时，构建</w:t>
      </w:r>
      <w:r>
        <w:rPr>
          <w:rFonts w:hint="eastAsia"/>
          <w:sz w:val="24"/>
        </w:rPr>
        <w:t>S</w:t>
      </w:r>
      <w:r>
        <w:rPr>
          <w:rFonts w:hint="eastAsia"/>
          <w:sz w:val="24"/>
        </w:rPr>
        <w:t>函数使</w:t>
      </w:r>
      <w:r>
        <w:rPr>
          <w:rFonts w:hint="eastAsia"/>
          <w:sz w:val="24"/>
        </w:rPr>
        <w:t>Simulink</w:t>
      </w:r>
      <w:r>
        <w:rPr>
          <w:rFonts w:hint="eastAsia"/>
          <w:sz w:val="24"/>
        </w:rPr>
        <w:t>与</w:t>
      </w:r>
      <w:proofErr w:type="spellStart"/>
      <w:r>
        <w:rPr>
          <w:rFonts w:hint="eastAsia"/>
          <w:sz w:val="24"/>
        </w:rPr>
        <w:t>Simplorer</w:t>
      </w:r>
      <w:proofErr w:type="spellEnd"/>
      <w:r>
        <w:rPr>
          <w:rFonts w:hint="eastAsia"/>
          <w:sz w:val="24"/>
        </w:rPr>
        <w:t>耦合，用</w:t>
      </w:r>
      <w:proofErr w:type="spellStart"/>
      <w:r>
        <w:rPr>
          <w:rFonts w:hint="eastAsia"/>
          <w:sz w:val="24"/>
        </w:rPr>
        <w:t>Simplorer</w:t>
      </w:r>
      <w:proofErr w:type="spellEnd"/>
      <w:r>
        <w:rPr>
          <w:rFonts w:hint="eastAsia"/>
          <w:sz w:val="24"/>
        </w:rPr>
        <w:t>中搭建的逆变器电路和</w:t>
      </w:r>
      <w:r>
        <w:rPr>
          <w:rFonts w:hint="eastAsia"/>
          <w:sz w:val="24"/>
        </w:rPr>
        <w:t>Maxwell</w:t>
      </w:r>
      <w:r>
        <w:rPr>
          <w:rFonts w:hint="eastAsia"/>
          <w:sz w:val="24"/>
        </w:rPr>
        <w:t>建立的</w:t>
      </w:r>
      <w:r>
        <w:rPr>
          <w:rFonts w:hint="eastAsia"/>
          <w:sz w:val="24"/>
        </w:rPr>
        <w:t>2D</w:t>
      </w:r>
      <w:r>
        <w:rPr>
          <w:rFonts w:hint="eastAsia"/>
          <w:sz w:val="24"/>
        </w:rPr>
        <w:t>有限元模型替代</w:t>
      </w:r>
      <w:r>
        <w:rPr>
          <w:rFonts w:hint="eastAsia"/>
          <w:sz w:val="24"/>
        </w:rPr>
        <w:t>Simulink</w:t>
      </w:r>
      <w:r>
        <w:rPr>
          <w:rFonts w:hint="eastAsia"/>
          <w:sz w:val="24"/>
        </w:rPr>
        <w:t>中自带的逆变器模块和永磁同步电机模块。仿真实验</w:t>
      </w:r>
      <w:r>
        <w:rPr>
          <w:rFonts w:hint="eastAsia"/>
          <w:color w:val="000000" w:themeColor="text1"/>
          <w:sz w:val="24"/>
        </w:rPr>
        <w:t>结果如图</w:t>
      </w:r>
      <w:r>
        <w:rPr>
          <w:rFonts w:hint="eastAsia"/>
          <w:color w:val="000000" w:themeColor="text1"/>
          <w:sz w:val="24"/>
        </w:rPr>
        <w:t>8</w:t>
      </w:r>
      <w:r>
        <w:rPr>
          <w:rFonts w:hint="eastAsia"/>
          <w:color w:val="000000" w:themeColor="text1"/>
          <w:sz w:val="24"/>
        </w:rPr>
        <w:t>至图</w:t>
      </w:r>
      <w:r>
        <w:rPr>
          <w:rFonts w:hint="eastAsia"/>
          <w:color w:val="000000" w:themeColor="text1"/>
          <w:sz w:val="24"/>
        </w:rPr>
        <w:t>11</w:t>
      </w:r>
      <w:r>
        <w:rPr>
          <w:rFonts w:hint="eastAsia"/>
          <w:color w:val="000000" w:themeColor="text1"/>
          <w:sz w:val="24"/>
        </w:rPr>
        <w:t>所示。</w:t>
      </w:r>
    </w:p>
    <w:p w14:paraId="44328870" w14:textId="77777777" w:rsidR="00CB0949" w:rsidRDefault="00000000">
      <w:pPr>
        <w:spacing w:line="400" w:lineRule="atLeast"/>
        <w:ind w:firstLineChars="200" w:firstLine="480"/>
        <w:rPr>
          <w:rFonts w:ascii="宋体" w:hAnsi="宋体" w:cs="宋体"/>
          <w:sz w:val="24"/>
        </w:rPr>
      </w:pPr>
      <w:r>
        <w:rPr>
          <w:rFonts w:ascii="宋体" w:hAnsi="宋体" w:cs="宋体"/>
          <w:noProof/>
          <w:sz w:val="24"/>
        </w:rPr>
        <w:lastRenderedPageBreak/>
        <w:drawing>
          <wp:inline distT="0" distB="0" distL="114300" distR="114300" wp14:anchorId="0CABB9C0" wp14:editId="3301B9EA">
            <wp:extent cx="4972685" cy="2155190"/>
            <wp:effectExtent l="0" t="0" r="10795" b="8890"/>
            <wp:docPr id="1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56"/>
                    <pic:cNvPicPr>
                      <a:picLocks noChangeAspect="1"/>
                    </pic:cNvPicPr>
                  </pic:nvPicPr>
                  <pic:blipFill>
                    <a:blip r:embed="rId15"/>
                    <a:stretch>
                      <a:fillRect/>
                    </a:stretch>
                  </pic:blipFill>
                  <pic:spPr>
                    <a:xfrm>
                      <a:off x="0" y="0"/>
                      <a:ext cx="4972685" cy="2155190"/>
                    </a:xfrm>
                    <a:prstGeom prst="rect">
                      <a:avLst/>
                    </a:prstGeom>
                    <a:noFill/>
                    <a:ln w="9525">
                      <a:noFill/>
                    </a:ln>
                  </pic:spPr>
                </pic:pic>
              </a:graphicData>
            </a:graphic>
          </wp:inline>
        </w:drawing>
      </w:r>
    </w:p>
    <w:p w14:paraId="61A90EB9" w14:textId="77777777" w:rsidR="00CB0949" w:rsidRDefault="00000000">
      <w:pPr>
        <w:spacing w:line="400" w:lineRule="atLeast"/>
        <w:ind w:firstLineChars="200" w:firstLine="420"/>
        <w:jc w:val="center"/>
        <w:rPr>
          <w:rFonts w:cs="Times New Roman"/>
          <w:szCs w:val="21"/>
        </w:rPr>
      </w:pPr>
      <w:r>
        <w:rPr>
          <w:rFonts w:cs="Times New Roman"/>
          <w:szCs w:val="21"/>
        </w:rPr>
        <w:t>图</w:t>
      </w:r>
      <w:r>
        <w:rPr>
          <w:rFonts w:cs="Times New Roman"/>
          <w:szCs w:val="21"/>
        </w:rPr>
        <w:t>7</w:t>
      </w:r>
      <w:r>
        <w:rPr>
          <w:rFonts w:cs="Times New Roman" w:hint="eastAsia"/>
          <w:szCs w:val="21"/>
        </w:rPr>
        <w:t xml:space="preserve">  </w:t>
      </w:r>
      <w:r>
        <w:rPr>
          <w:rFonts w:cs="Times New Roman" w:hint="eastAsia"/>
          <w:szCs w:val="21"/>
        </w:rPr>
        <w:t>系统框图</w:t>
      </w:r>
    </w:p>
    <w:p w14:paraId="2DA6A779" w14:textId="77777777" w:rsidR="00CB0949" w:rsidRDefault="00000000">
      <w:pPr>
        <w:spacing w:line="400" w:lineRule="atLeast"/>
        <w:jc w:val="center"/>
      </w:pPr>
      <w:r>
        <w:rPr>
          <w:noProof/>
        </w:rPr>
        <w:drawing>
          <wp:inline distT="0" distB="0" distL="114300" distR="114300" wp14:anchorId="64462491" wp14:editId="71F5B15B">
            <wp:extent cx="4258310" cy="2574290"/>
            <wp:effectExtent l="0" t="0" r="8890" b="12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4258310" cy="2574290"/>
                    </a:xfrm>
                    <a:prstGeom prst="rect">
                      <a:avLst/>
                    </a:prstGeom>
                  </pic:spPr>
                </pic:pic>
              </a:graphicData>
            </a:graphic>
          </wp:inline>
        </w:drawing>
      </w:r>
    </w:p>
    <w:p w14:paraId="6D73A5BF" w14:textId="77777777" w:rsidR="00CB0949" w:rsidRDefault="00000000">
      <w:pPr>
        <w:spacing w:line="400" w:lineRule="atLeast"/>
        <w:jc w:val="center"/>
      </w:pPr>
      <w:r>
        <w:rPr>
          <w:rFonts w:hint="eastAsia"/>
        </w:rPr>
        <w:t>图</w:t>
      </w:r>
      <w:r>
        <w:rPr>
          <w:rFonts w:hint="eastAsia"/>
        </w:rPr>
        <w:t xml:space="preserve">8  </w:t>
      </w:r>
      <w:r>
        <w:rPr>
          <w:rFonts w:hint="eastAsia"/>
        </w:rPr>
        <w:t>电流波形</w:t>
      </w:r>
    </w:p>
    <w:p w14:paraId="08AA7398" w14:textId="77777777" w:rsidR="00CB0949" w:rsidRDefault="00000000">
      <w:pPr>
        <w:spacing w:line="400" w:lineRule="atLeast"/>
        <w:jc w:val="center"/>
      </w:pPr>
      <w:r>
        <w:rPr>
          <w:noProof/>
        </w:rPr>
        <w:drawing>
          <wp:inline distT="0" distB="0" distL="114300" distR="114300" wp14:anchorId="79A1D25C" wp14:editId="50101F9D">
            <wp:extent cx="4258310" cy="2574290"/>
            <wp:effectExtent l="0" t="0" r="8890"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7"/>
                    <a:stretch>
                      <a:fillRect/>
                    </a:stretch>
                  </pic:blipFill>
                  <pic:spPr>
                    <a:xfrm>
                      <a:off x="0" y="0"/>
                      <a:ext cx="4258310" cy="2574290"/>
                    </a:xfrm>
                    <a:prstGeom prst="rect">
                      <a:avLst/>
                    </a:prstGeom>
                  </pic:spPr>
                </pic:pic>
              </a:graphicData>
            </a:graphic>
          </wp:inline>
        </w:drawing>
      </w:r>
    </w:p>
    <w:p w14:paraId="0E215494" w14:textId="77777777" w:rsidR="00CB0949" w:rsidRDefault="00000000">
      <w:pPr>
        <w:spacing w:line="400" w:lineRule="atLeast"/>
        <w:jc w:val="center"/>
      </w:pPr>
      <w:r>
        <w:rPr>
          <w:rFonts w:hint="eastAsia"/>
        </w:rPr>
        <w:t>图</w:t>
      </w:r>
      <w:r>
        <w:rPr>
          <w:rFonts w:hint="eastAsia"/>
        </w:rPr>
        <w:t xml:space="preserve">9  </w:t>
      </w:r>
      <w:r>
        <w:rPr>
          <w:rFonts w:hint="eastAsia"/>
        </w:rPr>
        <w:t>磁链波形</w:t>
      </w:r>
    </w:p>
    <w:p w14:paraId="2FB67ABF" w14:textId="77777777" w:rsidR="00CB0949" w:rsidRDefault="00000000">
      <w:pPr>
        <w:spacing w:line="400" w:lineRule="atLeast"/>
        <w:jc w:val="center"/>
      </w:pPr>
      <w:r>
        <w:rPr>
          <w:noProof/>
        </w:rPr>
        <w:lastRenderedPageBreak/>
        <w:drawing>
          <wp:inline distT="0" distB="0" distL="114300" distR="114300" wp14:anchorId="15999E2F" wp14:editId="415623E0">
            <wp:extent cx="4257675" cy="2574290"/>
            <wp:effectExtent l="0" t="0" r="952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8"/>
                    <a:stretch>
                      <a:fillRect/>
                    </a:stretch>
                  </pic:blipFill>
                  <pic:spPr>
                    <a:xfrm>
                      <a:off x="0" y="0"/>
                      <a:ext cx="4257675" cy="2574290"/>
                    </a:xfrm>
                    <a:prstGeom prst="rect">
                      <a:avLst/>
                    </a:prstGeom>
                  </pic:spPr>
                </pic:pic>
              </a:graphicData>
            </a:graphic>
          </wp:inline>
        </w:drawing>
      </w:r>
    </w:p>
    <w:p w14:paraId="068FC815" w14:textId="77777777" w:rsidR="00CB0949" w:rsidRDefault="00000000">
      <w:pPr>
        <w:spacing w:line="400" w:lineRule="atLeast"/>
        <w:jc w:val="center"/>
      </w:pPr>
      <w:r>
        <w:rPr>
          <w:rFonts w:hint="eastAsia"/>
        </w:rPr>
        <w:t>图</w:t>
      </w:r>
      <w:r>
        <w:rPr>
          <w:rFonts w:hint="eastAsia"/>
        </w:rPr>
        <w:t xml:space="preserve">10  </w:t>
      </w:r>
      <w:r>
        <w:rPr>
          <w:rFonts w:hint="eastAsia"/>
        </w:rPr>
        <w:t>转矩波形</w:t>
      </w:r>
    </w:p>
    <w:p w14:paraId="54FB872C" w14:textId="77777777" w:rsidR="00CB0949" w:rsidRDefault="00000000">
      <w:pPr>
        <w:spacing w:before="120" w:after="120" w:line="440" w:lineRule="atLeast"/>
        <w:jc w:val="center"/>
      </w:pPr>
      <w:r>
        <w:rPr>
          <w:noProof/>
        </w:rPr>
        <w:drawing>
          <wp:inline distT="0" distB="0" distL="114300" distR="114300" wp14:anchorId="20AB2810" wp14:editId="612C9F90">
            <wp:extent cx="4258945" cy="2574290"/>
            <wp:effectExtent l="0" t="0" r="8255"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4258945" cy="2574290"/>
                    </a:xfrm>
                    <a:prstGeom prst="rect">
                      <a:avLst/>
                    </a:prstGeom>
                  </pic:spPr>
                </pic:pic>
              </a:graphicData>
            </a:graphic>
          </wp:inline>
        </w:drawing>
      </w:r>
    </w:p>
    <w:p w14:paraId="507D9001" w14:textId="77777777" w:rsidR="00CB0949" w:rsidRDefault="00000000">
      <w:pPr>
        <w:spacing w:before="120" w:after="120" w:line="440" w:lineRule="atLeast"/>
        <w:jc w:val="center"/>
      </w:pPr>
      <w:r>
        <w:rPr>
          <w:rFonts w:hint="eastAsia"/>
        </w:rPr>
        <w:t>图</w:t>
      </w:r>
      <w:r>
        <w:rPr>
          <w:rFonts w:hint="eastAsia"/>
        </w:rPr>
        <w:t xml:space="preserve">11  </w:t>
      </w:r>
      <w:r>
        <w:rPr>
          <w:rFonts w:hint="eastAsia"/>
        </w:rPr>
        <w:t>转速波形</w:t>
      </w:r>
    </w:p>
    <w:p w14:paraId="7C0A5B37" w14:textId="77777777" w:rsidR="00CB0949" w:rsidRDefault="00000000">
      <w:pPr>
        <w:spacing w:before="120" w:after="120" w:line="440" w:lineRule="atLeast"/>
        <w:rPr>
          <w:sz w:val="24"/>
        </w:rPr>
      </w:pPr>
      <w:r>
        <w:rPr>
          <w:rFonts w:hint="eastAsia"/>
          <w:sz w:val="24"/>
        </w:rPr>
        <w:t>此外，还将协同仿真同单个平台仿真的结果进行了比较分析，结果如下所示。</w:t>
      </w:r>
    </w:p>
    <w:p w14:paraId="345A398D" w14:textId="77777777" w:rsidR="00CB0949" w:rsidRDefault="00000000">
      <w:pPr>
        <w:spacing w:line="220" w:lineRule="atLeast"/>
        <w:rPr>
          <w:color w:val="000000" w:themeColor="text1"/>
          <w:sz w:val="18"/>
          <w:szCs w:val="18"/>
        </w:rPr>
      </w:pPr>
      <w:r>
        <w:rPr>
          <w:noProof/>
          <w:color w:val="000000" w:themeColor="text1"/>
          <w:sz w:val="18"/>
          <w:szCs w:val="18"/>
        </w:rPr>
        <w:drawing>
          <wp:inline distT="0" distB="0" distL="114300" distR="114300" wp14:anchorId="07F24888" wp14:editId="74D54E7D">
            <wp:extent cx="2592070" cy="1188085"/>
            <wp:effectExtent l="0" t="0" r="0" b="0"/>
            <wp:docPr id="12" name="图片 12" descr="d、q轴电流-1000"/>
            <wp:cNvGraphicFramePr/>
            <a:graphic xmlns:a="http://schemas.openxmlformats.org/drawingml/2006/main">
              <a:graphicData uri="http://schemas.openxmlformats.org/drawingml/2006/picture">
                <pic:pic xmlns:pic="http://schemas.openxmlformats.org/drawingml/2006/picture">
                  <pic:nvPicPr>
                    <pic:cNvPr id="12" name="图片 12" descr="d、q轴电流-1000"/>
                    <pic:cNvPicPr/>
                  </pic:nvPicPr>
                  <pic:blipFill>
                    <a:blip r:embed="rId20"/>
                    <a:srcRect l="3916" t="7086" r="7724" b="42052"/>
                    <a:stretch>
                      <a:fillRect/>
                    </a:stretch>
                  </pic:blipFill>
                  <pic:spPr>
                    <a:xfrm>
                      <a:off x="0" y="0"/>
                      <a:ext cx="2592070" cy="1188085"/>
                    </a:xfrm>
                    <a:prstGeom prst="rect">
                      <a:avLst/>
                    </a:prstGeom>
                  </pic:spPr>
                </pic:pic>
              </a:graphicData>
            </a:graphic>
          </wp:inline>
        </w:drawing>
      </w:r>
      <w:r>
        <w:rPr>
          <w:noProof/>
          <w:color w:val="000000" w:themeColor="text1"/>
          <w:sz w:val="18"/>
          <w:szCs w:val="18"/>
        </w:rPr>
        <w:drawing>
          <wp:inline distT="0" distB="0" distL="114300" distR="114300" wp14:anchorId="3630FD62" wp14:editId="107568B4">
            <wp:extent cx="2592070" cy="1188085"/>
            <wp:effectExtent l="0" t="0" r="0" b="0"/>
            <wp:docPr id="13" name="图片 13" descr="电磁转矩-1000"/>
            <wp:cNvGraphicFramePr/>
            <a:graphic xmlns:a="http://schemas.openxmlformats.org/drawingml/2006/main">
              <a:graphicData uri="http://schemas.openxmlformats.org/drawingml/2006/picture">
                <pic:pic xmlns:pic="http://schemas.openxmlformats.org/drawingml/2006/picture">
                  <pic:nvPicPr>
                    <pic:cNvPr id="13" name="图片 13" descr="电磁转矩-1000"/>
                    <pic:cNvPicPr/>
                  </pic:nvPicPr>
                  <pic:blipFill>
                    <a:blip r:embed="rId21"/>
                    <a:srcRect l="3832" t="7103" r="7832" b="42034"/>
                    <a:stretch>
                      <a:fillRect/>
                    </a:stretch>
                  </pic:blipFill>
                  <pic:spPr>
                    <a:xfrm>
                      <a:off x="0" y="0"/>
                      <a:ext cx="2592070" cy="1188085"/>
                    </a:xfrm>
                    <a:prstGeom prst="rect">
                      <a:avLst/>
                    </a:prstGeom>
                  </pic:spPr>
                </pic:pic>
              </a:graphicData>
            </a:graphic>
          </wp:inline>
        </w:drawing>
      </w:r>
    </w:p>
    <w:p w14:paraId="045EB7B5" w14:textId="77777777" w:rsidR="00CB0949" w:rsidRDefault="00000000">
      <w:pPr>
        <w:numPr>
          <w:ilvl w:val="0"/>
          <w:numId w:val="1"/>
        </w:numPr>
        <w:spacing w:line="220" w:lineRule="atLeast"/>
        <w:ind w:left="1680" w:firstLine="420"/>
        <w:rPr>
          <w:color w:val="000000" w:themeColor="text1"/>
          <w:sz w:val="18"/>
          <w:szCs w:val="18"/>
        </w:rPr>
      </w:pPr>
      <w:r>
        <w:rPr>
          <w:rFonts w:hint="eastAsia"/>
          <w:color w:val="000000" w:themeColor="text1"/>
          <w:sz w:val="18"/>
          <w:szCs w:val="18"/>
        </w:rPr>
        <w:t xml:space="preserve">                                           (b)</w:t>
      </w:r>
    </w:p>
    <w:p w14:paraId="40BA5A4B" w14:textId="77777777" w:rsidR="00CB0949" w:rsidRDefault="00000000">
      <w:pPr>
        <w:spacing w:line="220" w:lineRule="atLeast"/>
        <w:rPr>
          <w:color w:val="000000" w:themeColor="text1"/>
          <w:sz w:val="18"/>
          <w:szCs w:val="18"/>
        </w:rPr>
      </w:pPr>
      <w:r>
        <w:rPr>
          <w:noProof/>
          <w:color w:val="000000" w:themeColor="text1"/>
          <w:sz w:val="18"/>
          <w:szCs w:val="18"/>
        </w:rPr>
        <w:lastRenderedPageBreak/>
        <w:drawing>
          <wp:inline distT="0" distB="0" distL="114300" distR="114300" wp14:anchorId="033E7B8A" wp14:editId="0F160ED0">
            <wp:extent cx="2592070" cy="1188085"/>
            <wp:effectExtent l="0" t="0" r="0" b="0"/>
            <wp:docPr id="14" name="图片 14" descr="定子电流-1000"/>
            <wp:cNvGraphicFramePr/>
            <a:graphic xmlns:a="http://schemas.openxmlformats.org/drawingml/2006/main">
              <a:graphicData uri="http://schemas.openxmlformats.org/drawingml/2006/picture">
                <pic:pic xmlns:pic="http://schemas.openxmlformats.org/drawingml/2006/picture">
                  <pic:nvPicPr>
                    <pic:cNvPr id="14" name="图片 14" descr="定子电流-1000"/>
                    <pic:cNvPicPr/>
                  </pic:nvPicPr>
                  <pic:blipFill>
                    <a:blip r:embed="rId22"/>
                    <a:srcRect l="4013" t="7086" r="7736" b="42052"/>
                    <a:stretch>
                      <a:fillRect/>
                    </a:stretch>
                  </pic:blipFill>
                  <pic:spPr>
                    <a:xfrm>
                      <a:off x="0" y="0"/>
                      <a:ext cx="2592070" cy="1188085"/>
                    </a:xfrm>
                    <a:prstGeom prst="rect">
                      <a:avLst/>
                    </a:prstGeom>
                  </pic:spPr>
                </pic:pic>
              </a:graphicData>
            </a:graphic>
          </wp:inline>
        </w:drawing>
      </w:r>
      <w:r>
        <w:rPr>
          <w:noProof/>
          <w:color w:val="000000" w:themeColor="text1"/>
          <w:sz w:val="18"/>
          <w:szCs w:val="18"/>
        </w:rPr>
        <w:drawing>
          <wp:inline distT="0" distB="0" distL="114300" distR="114300" wp14:anchorId="5C430573" wp14:editId="1234ECFD">
            <wp:extent cx="2592070" cy="1188085"/>
            <wp:effectExtent l="0" t="0" r="13970" b="0"/>
            <wp:docPr id="15" name="图片 15" descr="转速-1000"/>
            <wp:cNvGraphicFramePr/>
            <a:graphic xmlns:a="http://schemas.openxmlformats.org/drawingml/2006/main">
              <a:graphicData uri="http://schemas.openxmlformats.org/drawingml/2006/picture">
                <pic:pic xmlns:pic="http://schemas.openxmlformats.org/drawingml/2006/picture">
                  <pic:nvPicPr>
                    <pic:cNvPr id="15" name="图片 15" descr="转速-1000"/>
                    <pic:cNvPicPr/>
                  </pic:nvPicPr>
                  <pic:blipFill>
                    <a:blip r:embed="rId23"/>
                    <a:srcRect l="3543" t="7086" r="8158" b="42052"/>
                    <a:stretch>
                      <a:fillRect/>
                    </a:stretch>
                  </pic:blipFill>
                  <pic:spPr>
                    <a:xfrm>
                      <a:off x="0" y="0"/>
                      <a:ext cx="2592070" cy="1188085"/>
                    </a:xfrm>
                    <a:prstGeom prst="rect">
                      <a:avLst/>
                    </a:prstGeom>
                  </pic:spPr>
                </pic:pic>
              </a:graphicData>
            </a:graphic>
          </wp:inline>
        </w:drawing>
      </w:r>
    </w:p>
    <w:p w14:paraId="4826CA49" w14:textId="77777777" w:rsidR="00CB0949" w:rsidRDefault="00000000">
      <w:pPr>
        <w:spacing w:line="220" w:lineRule="atLeast"/>
        <w:ind w:left="1680" w:firstLine="420"/>
        <w:rPr>
          <w:color w:val="000000" w:themeColor="text1"/>
          <w:sz w:val="18"/>
          <w:szCs w:val="18"/>
        </w:rPr>
      </w:pPr>
      <w:r>
        <w:rPr>
          <w:rFonts w:hint="eastAsia"/>
          <w:color w:val="000000" w:themeColor="text1"/>
          <w:sz w:val="18"/>
          <w:szCs w:val="18"/>
        </w:rPr>
        <w:t xml:space="preserve">(c)                                         </w:t>
      </w:r>
      <w:proofErr w:type="gramStart"/>
      <w:r>
        <w:rPr>
          <w:rFonts w:hint="eastAsia"/>
          <w:color w:val="000000" w:themeColor="text1"/>
          <w:sz w:val="18"/>
          <w:szCs w:val="18"/>
        </w:rPr>
        <w:t xml:space="preserve">   (</w:t>
      </w:r>
      <w:proofErr w:type="gramEnd"/>
      <w:r>
        <w:rPr>
          <w:rFonts w:hint="eastAsia"/>
          <w:color w:val="000000" w:themeColor="text1"/>
          <w:sz w:val="18"/>
          <w:szCs w:val="18"/>
        </w:rPr>
        <w:t>d)</w:t>
      </w:r>
    </w:p>
    <w:p w14:paraId="132B2099" w14:textId="77777777" w:rsidR="00CB0949" w:rsidRDefault="00000000">
      <w:pPr>
        <w:spacing w:before="120" w:after="120" w:line="440" w:lineRule="atLeast"/>
        <w:jc w:val="center"/>
        <w:rPr>
          <w:szCs w:val="21"/>
        </w:rPr>
      </w:pPr>
      <w:r>
        <w:rPr>
          <w:rFonts w:hint="eastAsia"/>
          <w:szCs w:val="21"/>
        </w:rPr>
        <w:t>图</w:t>
      </w:r>
      <w:r>
        <w:rPr>
          <w:rFonts w:hint="eastAsia"/>
          <w:szCs w:val="21"/>
        </w:rPr>
        <w:t xml:space="preserve">12  </w:t>
      </w:r>
      <w:r>
        <w:rPr>
          <w:rFonts w:hint="eastAsia"/>
          <w:szCs w:val="21"/>
        </w:rPr>
        <w:t>协同仿真和单个平台仿真的结果对比</w:t>
      </w:r>
    </w:p>
    <w:p w14:paraId="788E4B65" w14:textId="77777777" w:rsidR="00CB0949" w:rsidRDefault="00000000">
      <w:pPr>
        <w:spacing w:before="120" w:after="120" w:line="440" w:lineRule="atLeast"/>
        <w:ind w:firstLineChars="200" w:firstLine="480"/>
        <w:rPr>
          <w:sz w:val="24"/>
        </w:rPr>
      </w:pPr>
      <w:r>
        <w:rPr>
          <w:rFonts w:hint="eastAsia"/>
          <w:color w:val="000000" w:themeColor="text1"/>
          <w:sz w:val="24"/>
        </w:rPr>
        <w:t>对上述结果数据图分析可以发现：在电机刚启动到稳态运行之间的暂态过程中，联合仿真的结果中启动电流峰值比传统</w:t>
      </w:r>
      <w:proofErr w:type="spellStart"/>
      <w:r>
        <w:rPr>
          <w:rFonts w:hint="eastAsia"/>
          <w:color w:val="000000" w:themeColor="text1"/>
          <w:sz w:val="24"/>
        </w:rPr>
        <w:t>Matlab</w:t>
      </w:r>
      <w:proofErr w:type="spellEnd"/>
      <w:r>
        <w:rPr>
          <w:rFonts w:hint="eastAsia"/>
          <w:color w:val="000000" w:themeColor="text1"/>
          <w:sz w:val="24"/>
        </w:rPr>
        <w:t>/Simulink</w:t>
      </w:r>
      <w:r>
        <w:rPr>
          <w:rFonts w:hint="eastAsia"/>
          <w:color w:val="000000" w:themeColor="text1"/>
          <w:sz w:val="24"/>
        </w:rPr>
        <w:t>单一平台仿真的结果要高，且收敛速度也较传统</w:t>
      </w:r>
      <w:proofErr w:type="spellStart"/>
      <w:r>
        <w:rPr>
          <w:rFonts w:hint="eastAsia"/>
          <w:color w:val="000000" w:themeColor="text1"/>
          <w:sz w:val="24"/>
        </w:rPr>
        <w:t>Matlab</w:t>
      </w:r>
      <w:proofErr w:type="spellEnd"/>
      <w:r>
        <w:rPr>
          <w:rFonts w:hint="eastAsia"/>
          <w:color w:val="000000" w:themeColor="text1"/>
          <w:sz w:val="24"/>
        </w:rPr>
        <w:t>/Simulink</w:t>
      </w:r>
      <w:r>
        <w:rPr>
          <w:rFonts w:hint="eastAsia"/>
          <w:color w:val="000000" w:themeColor="text1"/>
          <w:sz w:val="24"/>
        </w:rPr>
        <w:t>单一平台的结果更快。在系统稳态运行阶段，两种方式得到的曲线趋势几近完全一致，误差很小，确保了场路耦合联合仿真结果的准确性以及场路耦合联合仿真与传统</w:t>
      </w:r>
      <w:proofErr w:type="spellStart"/>
      <w:r>
        <w:rPr>
          <w:rFonts w:hint="eastAsia"/>
          <w:color w:val="000000" w:themeColor="text1"/>
          <w:sz w:val="24"/>
        </w:rPr>
        <w:t>Matlab</w:t>
      </w:r>
      <w:proofErr w:type="spellEnd"/>
      <w:r>
        <w:rPr>
          <w:rFonts w:hint="eastAsia"/>
          <w:color w:val="000000" w:themeColor="text1"/>
          <w:sz w:val="24"/>
        </w:rPr>
        <w:t>/Simulink</w:t>
      </w:r>
      <w:r>
        <w:rPr>
          <w:rFonts w:hint="eastAsia"/>
          <w:color w:val="000000" w:themeColor="text1"/>
          <w:sz w:val="24"/>
        </w:rPr>
        <w:t>单一平台仿真结果的一致性；而联合仿真的曲线较传统</w:t>
      </w:r>
      <w:proofErr w:type="spellStart"/>
      <w:r>
        <w:rPr>
          <w:rFonts w:hint="eastAsia"/>
          <w:color w:val="000000" w:themeColor="text1"/>
          <w:sz w:val="24"/>
        </w:rPr>
        <w:t>Matlab</w:t>
      </w:r>
      <w:proofErr w:type="spellEnd"/>
      <w:r>
        <w:rPr>
          <w:rFonts w:hint="eastAsia"/>
          <w:color w:val="000000" w:themeColor="text1"/>
          <w:sz w:val="24"/>
        </w:rPr>
        <w:t>/Simulink</w:t>
      </w:r>
      <w:r>
        <w:rPr>
          <w:rFonts w:hint="eastAsia"/>
          <w:color w:val="000000" w:themeColor="text1"/>
          <w:sz w:val="24"/>
        </w:rPr>
        <w:t>单一平台仿真的曲线更粗，这是由于场路耦合联合仿真模型在仿真分析中引入了电磁场量的计算，通过将电机剖分成大量有限元网格并分别对各网格进行电磁场和电路的耦合计算，使得其结果中的谐波成分的数据更加完善，数据点也相应的增加和丰富，进而使得联合仿真的曲线波形面积能够覆盖单一平台的仿真波形面积，这一现象表明了场路耦合联合仿真能够提高数据的完整性，使得仿真实验的运行效果更加贴合实际调速系统的运行效果，所得数据也更具有参考价值。</w:t>
      </w:r>
    </w:p>
    <w:p w14:paraId="05EF5C47" w14:textId="77777777" w:rsidR="00CB0949" w:rsidRDefault="00CB0949">
      <w:pPr>
        <w:spacing w:before="120" w:after="120" w:line="440" w:lineRule="atLeast"/>
        <w:rPr>
          <w:sz w:val="24"/>
        </w:rPr>
      </w:pPr>
    </w:p>
    <w:sectPr w:rsidR="00CB094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26E445"/>
    <w:multiLevelType w:val="singleLevel"/>
    <w:tmpl w:val="B926E445"/>
    <w:lvl w:ilvl="0">
      <w:start w:val="1"/>
      <w:numFmt w:val="lowerLetter"/>
      <w:suff w:val="space"/>
      <w:lvlText w:val="(%1)"/>
      <w:lvlJc w:val="left"/>
    </w:lvl>
  </w:abstractNum>
  <w:num w:numId="1" w16cid:durableId="1814984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jNhYjkyYzA3YWVjZmNjMmIyZjZiNzAyMjk5NDU2MjgifQ=="/>
  </w:docVars>
  <w:rsids>
    <w:rsidRoot w:val="0BC95A69"/>
    <w:rsid w:val="002508CD"/>
    <w:rsid w:val="00CB0949"/>
    <w:rsid w:val="00E84B12"/>
    <w:rsid w:val="00F77FFE"/>
    <w:rsid w:val="01923EF2"/>
    <w:rsid w:val="0BC95A69"/>
    <w:rsid w:val="0CF402A3"/>
    <w:rsid w:val="30540C85"/>
    <w:rsid w:val="5A85774B"/>
    <w:rsid w:val="61BF2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E36DA2"/>
  <w15:docId w15:val="{42EA1D66-E8EC-4119-8827-70F7EF40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emf"/><Relationship Id="rId10" Type="http://schemas.openxmlformats.org/officeDocument/2006/relationships/image" Target="media/image6.w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1089</Words>
  <Characters>6213</Characters>
  <Application>Microsoft Office Word</Application>
  <DocSecurity>0</DocSecurity>
  <Lines>51</Lines>
  <Paragraphs>14</Paragraphs>
  <ScaleCrop>false</ScaleCrop>
  <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小野冢衣玖</dc:creator>
  <cp:lastModifiedBy>龙 元杰</cp:lastModifiedBy>
  <cp:revision>3</cp:revision>
  <dcterms:created xsi:type="dcterms:W3CDTF">2023-06-26T08:09:00Z</dcterms:created>
  <dcterms:modified xsi:type="dcterms:W3CDTF">2023-06-26T08:12:00Z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B9D78D6F11374E5F8DFF634DA3213A40</vt:lpwstr>
  </property>
</Properties>
</file>